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2.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3.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4B" w:rsidRDefault="0047424B" w:rsidP="0047424B">
      <w:pPr>
        <w:tabs>
          <w:tab w:val="left" w:pos="7266"/>
        </w:tabs>
      </w:pPr>
      <w:bookmarkStart w:id="0" w:name="_Hlk503092198"/>
      <w:bookmarkStart w:id="1" w:name="TOC371597739"/>
      <w:bookmarkStart w:id="2" w:name="_Toc371678593"/>
      <w:bookmarkStart w:id="3" w:name="_GoBack"/>
      <w:bookmarkEnd w:id="0"/>
      <w:r>
        <w:tab/>
      </w:r>
    </w:p>
    <w:p w:rsidR="0047424B" w:rsidRDefault="0047424B" w:rsidP="0047424B">
      <w:pPr>
        <w:spacing w:after="0" w:line="360" w:lineRule="auto"/>
        <w:jc w:val="center"/>
        <w:rPr>
          <w:b/>
          <w:sz w:val="28"/>
          <w:szCs w:val="28"/>
        </w:rPr>
      </w:pPr>
    </w:p>
    <w:p w:rsidR="0047424B" w:rsidRPr="00C65F57" w:rsidRDefault="00982D23" w:rsidP="0047424B">
      <w:pPr>
        <w:spacing w:after="0" w:line="360" w:lineRule="auto"/>
        <w:jc w:val="center"/>
        <w:rPr>
          <w:b/>
          <w:sz w:val="28"/>
          <w:szCs w:val="28"/>
        </w:rPr>
      </w:pPr>
      <w:r>
        <w:rPr>
          <w:b/>
          <w:sz w:val="28"/>
          <w:szCs w:val="28"/>
        </w:rPr>
        <w:t>Equity Diversification from an Allocation to</w:t>
      </w:r>
      <w:r w:rsidR="0047424B">
        <w:rPr>
          <w:b/>
          <w:sz w:val="28"/>
          <w:szCs w:val="28"/>
        </w:rPr>
        <w:t xml:space="preserve"> </w:t>
      </w:r>
      <w:r>
        <w:rPr>
          <w:b/>
          <w:sz w:val="28"/>
          <w:szCs w:val="28"/>
        </w:rPr>
        <w:t>L</w:t>
      </w:r>
      <w:r w:rsidR="0047424B">
        <w:rPr>
          <w:b/>
          <w:sz w:val="28"/>
          <w:szCs w:val="28"/>
        </w:rPr>
        <w:t xml:space="preserve">isted </w:t>
      </w:r>
      <w:r>
        <w:rPr>
          <w:b/>
          <w:sz w:val="28"/>
          <w:szCs w:val="28"/>
        </w:rPr>
        <w:t>I</w:t>
      </w:r>
      <w:r w:rsidR="0047424B">
        <w:rPr>
          <w:b/>
          <w:sz w:val="28"/>
          <w:szCs w:val="28"/>
        </w:rPr>
        <w:t>nfrastructure</w:t>
      </w:r>
    </w:p>
    <w:p w:rsidR="0047424B" w:rsidRPr="00C65F57" w:rsidRDefault="0047424B" w:rsidP="0047424B">
      <w:pPr>
        <w:jc w:val="center"/>
        <w:rPr>
          <w:sz w:val="28"/>
          <w:szCs w:val="28"/>
        </w:rPr>
      </w:pPr>
      <w:r w:rsidRPr="00C65F57">
        <w:rPr>
          <w:sz w:val="28"/>
          <w:szCs w:val="28"/>
        </w:rPr>
        <w:t>by</w:t>
      </w:r>
    </w:p>
    <w:p w:rsidR="0047424B" w:rsidRPr="00C65F57" w:rsidRDefault="0047424B" w:rsidP="0047424B">
      <w:pPr>
        <w:spacing w:after="0" w:line="360" w:lineRule="auto"/>
        <w:jc w:val="center"/>
        <w:rPr>
          <w:b/>
          <w:sz w:val="28"/>
          <w:szCs w:val="28"/>
        </w:rPr>
      </w:pPr>
      <w:r>
        <w:rPr>
          <w:b/>
          <w:sz w:val="28"/>
          <w:szCs w:val="28"/>
        </w:rPr>
        <w:t>Solomon Nevins</w:t>
      </w:r>
      <w:r w:rsidRPr="00C65F57">
        <w:rPr>
          <w:b/>
          <w:sz w:val="28"/>
          <w:szCs w:val="28"/>
        </w:rPr>
        <w:t xml:space="preserve"> </w:t>
      </w:r>
      <w:r>
        <w:rPr>
          <w:b/>
          <w:sz w:val="28"/>
          <w:szCs w:val="28"/>
        </w:rPr>
        <w:t>(</w:t>
      </w:r>
      <w:r>
        <w:rPr>
          <w:rStyle w:val="a6"/>
          <w:color w:val="000000"/>
          <w:sz w:val="27"/>
          <w:szCs w:val="27"/>
        </w:rPr>
        <w:t>16138886)</w:t>
      </w:r>
    </w:p>
    <w:p w:rsidR="0047424B" w:rsidRDefault="0047424B" w:rsidP="0047424B">
      <w:pPr>
        <w:spacing w:after="0" w:line="360" w:lineRule="auto"/>
        <w:jc w:val="right"/>
        <w:rPr>
          <w:b/>
          <w:sz w:val="36"/>
        </w:rPr>
      </w:pPr>
    </w:p>
    <w:p w:rsidR="0047424B" w:rsidRPr="000B2D87" w:rsidRDefault="00A01640" w:rsidP="0047424B">
      <w:pPr>
        <w:spacing w:after="0" w:line="360" w:lineRule="auto"/>
        <w:jc w:val="center"/>
        <w:rPr>
          <w:sz w:val="32"/>
        </w:rPr>
      </w:pPr>
      <w:sdt>
        <w:sdtPr>
          <w:rPr>
            <w:sz w:val="32"/>
          </w:rPr>
          <w:alias w:val="MSc"/>
          <w:tag w:val="MSc"/>
          <w:id w:val="-1779020616"/>
          <w:placeholder>
            <w:docPart w:val="76D147DBD953495C816EEF9910F00379"/>
          </w:placeholder>
          <w:comboBox>
            <w:listItem w:displayText="Insert your MSc course" w:value="Insert your MSc course"/>
            <w:listItem w:displayText="MSc Construction Economics and Management" w:value="MSc Construction Economics and Management"/>
            <w:listItem w:displayText="MSc Infrastructure Investment and Finance" w:value="MSc Infrastructure Investment and Finance"/>
            <w:listItem w:displayText="MSc Project and Enterprise Management" w:value="MSc Project and Enterprise Management"/>
            <w:listItem w:displayText="MSc Strategic Management of Projects" w:value="MSc Strategic Management of Projects"/>
          </w:comboBox>
        </w:sdtPr>
        <w:sdtEndPr/>
        <w:sdtContent>
          <w:r w:rsidR="00D23829">
            <w:rPr>
              <w:sz w:val="32"/>
            </w:rPr>
            <w:t>MSc Infrastructure Investment and Finance</w:t>
          </w:r>
        </w:sdtContent>
      </w:sdt>
    </w:p>
    <w:p w:rsidR="0047424B" w:rsidRPr="000B2D87" w:rsidRDefault="0047424B" w:rsidP="0047424B">
      <w:pPr>
        <w:spacing w:after="0" w:line="360" w:lineRule="auto"/>
        <w:jc w:val="center"/>
        <w:rPr>
          <w:sz w:val="28"/>
        </w:rPr>
      </w:pPr>
      <w:r w:rsidRPr="000B2D87">
        <w:rPr>
          <w:sz w:val="28"/>
        </w:rPr>
        <w:t>Module: BENVG</w:t>
      </w:r>
      <w:sdt>
        <w:sdtPr>
          <w:rPr>
            <w:sz w:val="28"/>
          </w:rPr>
          <w:alias w:val="CP1 - Dissertation"/>
          <w:tag w:val="CP1 - Dissertation"/>
          <w:id w:val="-1529936697"/>
          <w:placeholder>
            <w:docPart w:val="76D147DBD953495C816EEF9910F00379"/>
          </w:placeholder>
          <w:comboBox>
            <w:listItem w:displayText="Insert remainder of module code and name of module" w:value="Insert remainder of module code and name of module"/>
            <w:listItem w:displayText="CM1 - The Economics of Construction" w:value="CM1 - The Economics of Construction"/>
            <w:listItem w:displayText="CM2 - The Economic Institutions of the Construction Industry" w:value="CM2 - The Economic Institutions of the Construction Industry"/>
            <w:listItem w:displayText="CM3 - Construction Booms and Slumps" w:value="CM3 - Construction Booms and Slumps"/>
            <w:listItem w:displayText="CM4 - Construction Clients and the Market for Contracts" w:value="CM4 - Construction Clients and the Market for Contracts"/>
            <w:listItem w:displayText="CM5 - Economics of Appraisal of Construction Projects: Leading Issues" w:value="CM5 - Economics of Appraisal of Construction Projects: Leading Issues"/>
            <w:listItem w:displayText="CM6 - The Economics of Speculative Construction Development" w:value="CM6 - The Economics of Speculative Construction Development"/>
            <w:listItem w:displayText="CM7 - Managing Professional Practice" w:value="CM7 - Managing Professional Practice"/>
            <w:listItem w:displayText="CMD - Construction Industry Development" w:value="CMD - Construction Industry Development"/>
            <w:listItem w:displayText="CME - The Management of Construction Enterprises" w:value="CME - The Management of Construction Enterprises"/>
            <w:listItem w:displayText="CMF - The Management of Construction Projects" w:value="CMF - The Management of Construction Projects"/>
            <w:listItem w:displayText="PM1 - Project Management" w:value="PM1 - Project Management"/>
            <w:listItem w:displayText="PM2 - Owner-based Management of Projects" w:value="PM2 - Owner-based Management of Projects"/>
            <w:listItem w:displayText="PM3 - Managing the Enterprise-Project Relationship" w:value="PM3 - Managing the Enterprise-Project Relationship"/>
            <w:listItem w:displayText="PM5 - The Procurement of Construction, Engineering and Professional Services" w:value="PM5 - The Procurement of Construction, Engineering and Professional Services"/>
            <w:listItem w:displayText="PM6 - Organisations and People in Projects" w:value="PM6 - Organisations and People in Projects"/>
            <w:listItem w:displayText="PM7 - Managing Construction" w:value="PM7 - Managing Construction"/>
            <w:listItem w:displayText="PM8 - Principles of Enterprise Management" w:value="PM8 - Principles of Enterprise Management"/>
            <w:listItem w:displayText="PM9 - Enterprise Management: Relationships Between Firms" w:value="PM9 - Enterprise Management: Relationships Between Firms"/>
            <w:listItem w:displayText="PMA - Capturing and Delivering Value" w:value="PMA - Capturing and Delivering Value"/>
            <w:listItem w:displayText="PMB - The Construction Firm: Contractors and Sub-contractors" w:value="PMB - The Construction Firm: Contractors and Sub-contractors"/>
            <w:listItem w:displayText="PMD - Environmental Sustainability in the Construction Sector" w:value="PMD - Environmental Sustainability in the Construction Sector"/>
            <w:listItem w:displayText="PME - Supply Chain Management: Principles and Case Studies" w:value="PME - Supply Chain Management: Principles and Case Studies"/>
            <w:listItem w:displayText="PMF - Marketing and Project Business Development" w:value="PMF - Marketing and Project Business Development"/>
            <w:listItem w:displayText="PMG - The Management of Large Projects and Programmes" w:value="PMG - The Management of Large Projects and Programmes"/>
            <w:listItem w:displayText="PMH - Social Networks in Project and Enterprise Organisations" w:value="PMH - Social Networks in Project and Enterprise Organisations"/>
            <w:listItem w:displayText="PMJ - Integrating Project Information Systems with Building Information Modelling (BIM)" w:value="PMJ - Integrating Project Information Systems with Building Information Modelling (BIM)"/>
            <w:listItem w:displayText="PMK - Managing Change in Organisations" w:value="PMK - Managing Change in Organisations"/>
            <w:listItem w:displayText="PML - Projects, Economics, Sectors and Behaviour" w:value="PML - Projects, Economics, Sectors and Behaviour"/>
            <w:listItem w:displayText="PMM - Value Management and the Management of Value" w:value="PMM - Value Management and the Management of Value"/>
            <w:listItem w:displayText="PMN - The Management of Innovation in Construction Firms and Projects" w:value="PMN - The Management of Innovation in Construction Firms and Projects"/>
            <w:listItem w:displayText="PMP - Contractual Claims and Dispute Resolution" w:value="PMP - Contractual Claims and Dispute Resolution"/>
            <w:listItem w:displayText="PMQ - Transforming Projects into Business Operations" w:value="PMQ - Transforming Projects into Business Operations"/>
            <w:listItem w:displayText="IM1 - The Management of Projects" w:value="IM1 - The Management of Projects"/>
            <w:listItem w:displayText="IM2 - Relationships and Marketing" w:value="IM2 - Relationships and Marketing"/>
            <w:listItem w:displayText="IM3 - Economics and Finance" w:value="IM3 - Economics and Finance"/>
            <w:listItem w:displayText="IM5 - Management of Design" w:value="IM5 - Management of Design"/>
            <w:listItem w:displayText="IM7 - Supply Chain Management" w:value="IM7 - Supply Chain Management"/>
            <w:listItem w:displayText="IM9 - Governance and Control" w:value="IM9 - Governance and Control"/>
            <w:listItem w:displayText="IMA - Tomorrow's Company" w:value="IMA - Tomorrow's Company"/>
            <w:listItem w:displayText="IMC - Exploring Project Requirements" w:value="IMC - Exploring Project Requirements"/>
            <w:listItem w:displayText="IMD - Managing Innovation and Technology" w:value="IMD - Managing Innovation and Technology"/>
            <w:listItem w:displayText="IME - Project Operational Legacy" w:value="IME - Project Operational Legacy"/>
            <w:listItem w:displayText="IF1 - Financing Infrastructure - Fundamentals and Innovations in Funding and Financing" w:value="IF1 - Financing Infrastructure - Fundamentals and Innovations in Funding and Financing"/>
            <w:listItem w:displayText="IF2 - Infrastructure Using a Special Purpose Vehicle" w:value="IF2 - Infrastructure Using a Special Purpose Vehicle"/>
            <w:listItem w:displayText="IF3 - Infrastructure: Economic Principles and Policy" w:value="IF3 - Infrastructure: Economic Principles and Policy"/>
            <w:listItem w:displayText="IF4 - Infrastructure as an Asset Class" w:value="IF4 - Infrastructure as an Asset Class"/>
            <w:listItem w:displayText="IF5 - Agency and Transaction Costs in Infrastructure Projects" w:value="IF5 - Agency and Transaction Costs in Infrastructure Projects"/>
            <w:listItem w:displayText="IF6 - Risk Modelling and Asset Management in Infrastructure Projects" w:value="IF6 - Risk Modelling and Asset Management in Infrastructure Projects"/>
            <w:listItem w:displayText="IF7 - Demand Forecasts, Business Cases and Appraisal Methods for Infrastructure Projects" w:value="IF7 - Demand Forecasts, Business Cases and Appraisal Methods for Infrastructure Projects"/>
            <w:listItem w:displayText="IF8 - The Management of  Infrastructure Projects and Programmes" w:value="IF8 - The Management of  Infrastructure Projects and Programmes"/>
            <w:listItem w:displayText="CP1 - Dissertation" w:value="CP1 - Dissertation"/>
            <w:listItem w:displayText="CP1 - Dissertation Outline" w:value="CP1 - Dissertation Outline"/>
          </w:comboBox>
        </w:sdtPr>
        <w:sdtEndPr/>
        <w:sdtContent>
          <w:r w:rsidRPr="00855172">
            <w:rPr>
              <w:sz w:val="28"/>
            </w:rPr>
            <w:t>CP1 School of Construction and Project Management</w:t>
          </w:r>
          <w:r>
            <w:rPr>
              <w:sz w:val="28"/>
            </w:rPr>
            <w:t xml:space="preserve"> Dissertation</w:t>
          </w:r>
        </w:sdtContent>
      </w:sdt>
    </w:p>
    <w:p w:rsidR="0047424B" w:rsidRPr="00AD4577" w:rsidRDefault="0047424B" w:rsidP="0047424B">
      <w:pPr>
        <w:spacing w:after="0" w:line="360" w:lineRule="auto"/>
        <w:jc w:val="center"/>
        <w:rPr>
          <w:rFonts w:cs="Times New Roman"/>
          <w:sz w:val="28"/>
          <w:szCs w:val="28"/>
        </w:rPr>
      </w:pPr>
      <w:r>
        <w:rPr>
          <w:sz w:val="28"/>
        </w:rPr>
        <w:t>Dissertation Supervisor</w:t>
      </w:r>
      <w:r w:rsidRPr="000B2D87">
        <w:rPr>
          <w:sz w:val="28"/>
        </w:rPr>
        <w:t xml:space="preserve">: </w:t>
      </w:r>
      <w:sdt>
        <w:sdtPr>
          <w:rPr>
            <w:szCs w:val="24"/>
          </w:rPr>
          <w:alias w:val="Module Leader"/>
          <w:tag w:val="Module Leader"/>
          <w:id w:val="539944119"/>
          <w:placeholder>
            <w:docPart w:val="76D147DBD953495C816EEF9910F00379"/>
          </w:placeholder>
          <w:comboBox>
            <w:listItem w:displayText="Insert the name of the module leader" w:value="Insert the name of the module leader"/>
            <w:listItem w:displayText="Aeli Roberts" w:value="Aeli Roberts"/>
            <w:listItem w:displayText="Andrew Davies" w:value="Andrew Davies"/>
            <w:listItem w:displayText="Andrew Edkins" w:value="Andrew Edkins"/>
            <w:listItem w:displayText="Aris Pantelias" w:value="Aris Pantelias"/>
            <w:listItem w:displayText="Chen-Yu Chang" w:value="Chen-Yu Chang"/>
            <w:listItem w:displayText="David Coles" w:value="David Coles"/>
            <w:listItem w:displayText="D'Maris Coffman" w:value="D'Maris Coffman"/>
            <w:listItem w:displayText="Efrosyni Konstantinou" w:value="Efrosyni Konstantinou"/>
            <w:listItem w:displayText="Graham Ive" w:value="Graham Ive"/>
            <w:listItem w:displayText="Grant Mills" w:value="Grant Mills"/>
            <w:listItem w:displayText="Hedley Smyth" w:value="Hedley Smyth"/>
            <w:listItem w:displayText="John Kelsey" w:value="John Kelsey"/>
            <w:listItem w:displayText="Leo Bocci" w:value="Leo Bocci"/>
            <w:listItem w:displayText="Michelle Baddeley" w:value="Michelle Baddeley"/>
            <w:listItem w:displayText="Natalya Sergeeva" w:value="Natalya Sergeeva"/>
            <w:listItem w:displayText="Pete Harpum" w:value="Pete Harpum"/>
            <w:listItem w:displayText="Peter Morris" w:value="Peter Morris"/>
            <w:listItem w:displayText="Sarah Earl" w:value="Sarah Earl"/>
            <w:listItem w:displayText="Satu Teerikangas" w:value="Satu Teerikangas"/>
            <w:listItem w:displayText="Stefano Miraglia" w:value="Stefano Miraglia"/>
            <w:listItem w:displayText="Stephen Pryke" w:value="Stephen Pryke"/>
            <w:listItem w:displayText="Sulafa Badi" w:value="Sulafa Badi"/>
            <w:listItem w:displayText="Taha Elhag" w:value="Taha Elhag"/>
            <w:listItem w:displayText="Vedran Zerjav" w:value="Vedran Zerjav"/>
            <w:listItem w:displayText="Yiming Wang" w:value="Yiming Wang"/>
          </w:comboBox>
        </w:sdtPr>
        <w:sdtEndPr/>
        <w:sdtContent>
          <w:r>
            <w:rPr>
              <w:szCs w:val="24"/>
            </w:rPr>
            <w:t>Aris Pantelias</w:t>
          </w:r>
        </w:sdtContent>
      </w:sdt>
    </w:p>
    <w:p w:rsidR="0047424B" w:rsidRPr="000B2D87" w:rsidRDefault="0047424B" w:rsidP="0047424B">
      <w:pPr>
        <w:jc w:val="center"/>
      </w:pPr>
      <w:r w:rsidRPr="000B2D87">
        <w:t xml:space="preserve">Word Count: </w:t>
      </w:r>
      <w:sdt>
        <w:sdtPr>
          <w:id w:val="535628770"/>
          <w:placeholder>
            <w:docPart w:val="CE85CD6F8BEB424893CCC0C9A31E7DB6"/>
          </w:placeholder>
        </w:sdtPr>
        <w:sdtEndPr/>
        <w:sdtContent>
          <w:r w:rsidR="001125E2">
            <w:t>9666</w:t>
          </w:r>
        </w:sdtContent>
      </w:sdt>
    </w:p>
    <w:p w:rsidR="0047424B" w:rsidRPr="000B2D87" w:rsidRDefault="0047424B" w:rsidP="0047424B"/>
    <w:p w:rsidR="0047424B" w:rsidRPr="000B2D87" w:rsidRDefault="0047424B" w:rsidP="0047424B"/>
    <w:p w:rsidR="0047424B" w:rsidRPr="000B2D87" w:rsidRDefault="0047424B" w:rsidP="0047424B"/>
    <w:p w:rsidR="0047424B" w:rsidRDefault="0047424B" w:rsidP="0047424B"/>
    <w:p w:rsidR="0047424B" w:rsidRDefault="0047424B" w:rsidP="0047424B"/>
    <w:p w:rsidR="0047424B" w:rsidRDefault="0047424B" w:rsidP="0047424B"/>
    <w:p w:rsidR="0047424B" w:rsidRDefault="0047424B" w:rsidP="0047424B">
      <w:pPr>
        <w:spacing w:line="360" w:lineRule="auto"/>
        <w:jc w:val="center"/>
        <w:rPr>
          <w:sz w:val="28"/>
          <w:szCs w:val="28"/>
        </w:rPr>
      </w:pPr>
      <w:r>
        <w:rPr>
          <w:sz w:val="28"/>
          <w:szCs w:val="28"/>
        </w:rPr>
        <w:t xml:space="preserve">This thesis is submitted in partial fulfilment of the requirements for the </w:t>
      </w:r>
    </w:p>
    <w:p w:rsidR="0047424B" w:rsidRDefault="0047424B" w:rsidP="0047424B">
      <w:pPr>
        <w:spacing w:line="360" w:lineRule="auto"/>
        <w:jc w:val="center"/>
        <w:rPr>
          <w:sz w:val="28"/>
          <w:szCs w:val="28"/>
        </w:rPr>
      </w:pPr>
      <w:r>
        <w:rPr>
          <w:sz w:val="28"/>
          <w:szCs w:val="28"/>
        </w:rPr>
        <w:t xml:space="preserve">degree of Master of Science from UCL </w:t>
      </w:r>
    </w:p>
    <w:p w:rsidR="0047424B" w:rsidRDefault="0047424B" w:rsidP="0047424B">
      <w:pPr>
        <w:jc w:val="center"/>
        <w:rPr>
          <w:sz w:val="28"/>
          <w:szCs w:val="28"/>
        </w:rPr>
      </w:pPr>
    </w:p>
    <w:p w:rsidR="0047424B" w:rsidRPr="00FD4F9D" w:rsidRDefault="0047424B" w:rsidP="0047424B">
      <w:pPr>
        <w:jc w:val="center"/>
        <w:rPr>
          <w:b/>
          <w:sz w:val="28"/>
          <w:szCs w:val="28"/>
        </w:rPr>
      </w:pPr>
      <w:bookmarkStart w:id="4" w:name="_Hlk522194768"/>
      <w:r w:rsidRPr="00FD4F9D">
        <w:rPr>
          <w:b/>
          <w:sz w:val="28"/>
          <w:szCs w:val="28"/>
        </w:rPr>
        <w:t>Bartlett School of Construction and Project Management</w:t>
      </w:r>
    </w:p>
    <w:p w:rsidR="0047424B" w:rsidRPr="00FD4F9D" w:rsidRDefault="0047424B" w:rsidP="0047424B">
      <w:pPr>
        <w:jc w:val="center"/>
        <w:rPr>
          <w:b/>
          <w:sz w:val="28"/>
          <w:szCs w:val="28"/>
        </w:rPr>
      </w:pPr>
      <w:r w:rsidRPr="00FD4F9D">
        <w:rPr>
          <w:b/>
          <w:sz w:val="28"/>
          <w:szCs w:val="28"/>
        </w:rPr>
        <w:t xml:space="preserve"> University College London</w:t>
      </w:r>
    </w:p>
    <w:bookmarkEnd w:id="4"/>
    <w:p w:rsidR="0047424B" w:rsidRPr="00FD4F9D" w:rsidRDefault="0047424B" w:rsidP="0047424B">
      <w:pPr>
        <w:jc w:val="center"/>
        <w:rPr>
          <w:b/>
          <w:sz w:val="28"/>
          <w:szCs w:val="28"/>
        </w:rPr>
      </w:pPr>
    </w:p>
    <w:p w:rsidR="001125E2" w:rsidRPr="001E4ACF" w:rsidRDefault="0047424B" w:rsidP="001E4ACF">
      <w:pPr>
        <w:jc w:val="center"/>
        <w:rPr>
          <w:b/>
          <w:sz w:val="28"/>
          <w:szCs w:val="28"/>
        </w:rPr>
      </w:pPr>
      <w:r w:rsidRPr="00FD4F9D">
        <w:rPr>
          <w:b/>
          <w:sz w:val="28"/>
          <w:szCs w:val="28"/>
        </w:rPr>
        <w:t>August 2018</w:t>
      </w:r>
      <w:bookmarkStart w:id="5" w:name="_Hlk501898986"/>
      <w:bookmarkEnd w:id="1"/>
      <w:bookmarkEnd w:id="2"/>
      <w:bookmarkEnd w:id="5"/>
    </w:p>
    <w:p w:rsidR="006D6476" w:rsidRPr="001E4ACF" w:rsidRDefault="006D6476" w:rsidP="006D6476">
      <w:pPr>
        <w:rPr>
          <w:rFonts w:ascii="Tahoma" w:eastAsiaTheme="majorEastAsia" w:hAnsi="Tahoma"/>
          <w:szCs w:val="36"/>
        </w:rPr>
      </w:pPr>
    </w:p>
    <w:p w:rsidR="006D6476" w:rsidRDefault="006D6476">
      <w:r>
        <w:br w:type="page"/>
      </w:r>
    </w:p>
    <w:p w:rsidR="006D6476" w:rsidRDefault="006D6476" w:rsidP="006D6476">
      <w:pPr>
        <w:rPr>
          <w:rFonts w:ascii="Tahoma" w:eastAsiaTheme="majorEastAsia" w:hAnsi="Tahoma"/>
          <w:szCs w:val="36"/>
        </w:rPr>
      </w:pPr>
    </w:p>
    <w:sdt>
      <w:sdtPr>
        <w:rPr>
          <w:rFonts w:asciiTheme="minorHAnsi" w:eastAsiaTheme="minorEastAsia" w:hAnsiTheme="minorHAnsi" w:cs="Tahoma"/>
          <w:b w:val="0"/>
          <w:color w:val="000000" w:themeColor="text1"/>
          <w:sz w:val="22"/>
          <w:szCs w:val="22"/>
        </w:rPr>
        <w:id w:val="-1920007862"/>
        <w:docPartObj>
          <w:docPartGallery w:val="Table of Contents"/>
          <w:docPartUnique/>
        </w:docPartObj>
      </w:sdtPr>
      <w:sdtEndPr>
        <w:rPr>
          <w:bCs/>
          <w:noProof/>
          <w:sz w:val="18"/>
        </w:rPr>
      </w:sdtEndPr>
      <w:sdtContent>
        <w:p w:rsidR="00A426E5" w:rsidRPr="00AB0BAE" w:rsidRDefault="00A426E5" w:rsidP="000974F4">
          <w:pPr>
            <w:pStyle w:val="TOC"/>
            <w:rPr>
              <w:rFonts w:cs="Tahoma"/>
              <w:color w:val="000000" w:themeColor="text1"/>
            </w:rPr>
          </w:pPr>
          <w:r w:rsidRPr="00AB0BAE">
            <w:rPr>
              <w:rFonts w:cs="Tahoma"/>
              <w:color w:val="000000" w:themeColor="text1"/>
            </w:rPr>
            <w:t>Contents</w:t>
          </w:r>
        </w:p>
        <w:p w:rsidR="008938D1" w:rsidRPr="00AB0BAE" w:rsidRDefault="008938D1" w:rsidP="008938D1">
          <w:pPr>
            <w:rPr>
              <w:sz w:val="18"/>
            </w:rPr>
          </w:pPr>
        </w:p>
        <w:p w:rsidR="008938D1" w:rsidRPr="00AB0BAE" w:rsidRDefault="008938D1" w:rsidP="008938D1">
          <w:pPr>
            <w:rPr>
              <w:rFonts w:ascii="Tahoma" w:hAnsi="Tahoma" w:cs="Tahoma"/>
              <w:sz w:val="18"/>
            </w:rPr>
          </w:pPr>
          <w:r w:rsidRPr="00AB0BAE">
            <w:rPr>
              <w:rFonts w:ascii="Tahoma" w:hAnsi="Tahoma" w:cs="Tahoma"/>
              <w:sz w:val="18"/>
            </w:rPr>
            <w:t>Contents</w:t>
          </w:r>
        </w:p>
        <w:p w:rsidR="004C2C63" w:rsidRPr="00AB0BAE" w:rsidRDefault="008938D1" w:rsidP="008938D1">
          <w:pPr>
            <w:rPr>
              <w:rFonts w:ascii="Tahoma" w:hAnsi="Tahoma" w:cs="Tahoma"/>
              <w:sz w:val="18"/>
            </w:rPr>
          </w:pPr>
          <w:r w:rsidRPr="00AB0BAE">
            <w:rPr>
              <w:rFonts w:ascii="Tahoma" w:hAnsi="Tahoma" w:cs="Tahoma"/>
              <w:sz w:val="18"/>
            </w:rPr>
            <w:t>Lists of Tables and Figures</w:t>
          </w:r>
        </w:p>
        <w:p w:rsidR="00B3329E" w:rsidRPr="00AB0BAE" w:rsidRDefault="00A426E5">
          <w:pPr>
            <w:pStyle w:val="10"/>
            <w:tabs>
              <w:tab w:val="right" w:leader="dot" w:pos="9016"/>
            </w:tabs>
            <w:rPr>
              <w:rFonts w:ascii="Tahoma" w:hAnsi="Tahoma" w:cs="Tahoma"/>
              <w:noProof/>
              <w:color w:val="000000" w:themeColor="text1"/>
              <w:sz w:val="18"/>
              <w:lang w:eastAsia="en-GB"/>
            </w:rPr>
          </w:pPr>
          <w:r w:rsidRPr="00AB0BAE">
            <w:rPr>
              <w:rFonts w:ascii="Tahoma" w:hAnsi="Tahoma" w:cs="Tahoma"/>
              <w:b/>
              <w:bCs/>
              <w:noProof/>
              <w:color w:val="000000" w:themeColor="text1"/>
              <w:sz w:val="18"/>
            </w:rPr>
            <w:fldChar w:fldCharType="begin"/>
          </w:r>
          <w:r w:rsidRPr="00AB0BAE">
            <w:rPr>
              <w:rFonts w:ascii="Tahoma" w:hAnsi="Tahoma" w:cs="Tahoma"/>
              <w:b/>
              <w:bCs/>
              <w:noProof/>
              <w:color w:val="000000" w:themeColor="text1"/>
              <w:sz w:val="18"/>
            </w:rPr>
            <w:instrText xml:space="preserve"> TOC \o "1-3" \h \z \u </w:instrText>
          </w:r>
          <w:r w:rsidRPr="00AB0BAE">
            <w:rPr>
              <w:rFonts w:ascii="Tahoma" w:hAnsi="Tahoma" w:cs="Tahoma"/>
              <w:b/>
              <w:bCs/>
              <w:noProof/>
              <w:color w:val="000000" w:themeColor="text1"/>
              <w:sz w:val="18"/>
            </w:rPr>
            <w:fldChar w:fldCharType="separate"/>
          </w:r>
          <w:hyperlink w:anchor="_Toc523311337" w:history="1">
            <w:r w:rsidR="00B3329E" w:rsidRPr="00AB0BAE">
              <w:rPr>
                <w:rStyle w:val="a4"/>
                <w:rFonts w:ascii="Tahoma" w:hAnsi="Tahoma" w:cs="Tahoma"/>
                <w:noProof/>
                <w:color w:val="000000" w:themeColor="text1"/>
                <w:sz w:val="18"/>
              </w:rPr>
              <w:t>1. Introduction</w:t>
            </w:r>
            <w:r w:rsidR="00B3329E" w:rsidRPr="00AB0BAE">
              <w:rPr>
                <w:rFonts w:ascii="Tahoma" w:hAnsi="Tahoma" w:cs="Tahoma"/>
                <w:noProof/>
                <w:webHidden/>
                <w:color w:val="000000" w:themeColor="text1"/>
                <w:sz w:val="18"/>
              </w:rPr>
              <w:tab/>
            </w:r>
            <w:r w:rsidR="00B3329E" w:rsidRPr="00AB0BAE">
              <w:rPr>
                <w:rFonts w:ascii="Tahoma" w:hAnsi="Tahoma" w:cs="Tahoma"/>
                <w:noProof/>
                <w:webHidden/>
                <w:color w:val="000000" w:themeColor="text1"/>
                <w:sz w:val="18"/>
              </w:rPr>
              <w:fldChar w:fldCharType="begin"/>
            </w:r>
            <w:r w:rsidR="00B3329E" w:rsidRPr="00AB0BAE">
              <w:rPr>
                <w:rFonts w:ascii="Tahoma" w:hAnsi="Tahoma" w:cs="Tahoma"/>
                <w:noProof/>
                <w:webHidden/>
                <w:color w:val="000000" w:themeColor="text1"/>
                <w:sz w:val="18"/>
              </w:rPr>
              <w:instrText xml:space="preserve"> PAGEREF _Toc523311337 \h </w:instrText>
            </w:r>
            <w:r w:rsidR="00B3329E" w:rsidRPr="00AB0BAE">
              <w:rPr>
                <w:rFonts w:ascii="Tahoma" w:hAnsi="Tahoma" w:cs="Tahoma"/>
                <w:noProof/>
                <w:webHidden/>
                <w:color w:val="000000" w:themeColor="text1"/>
                <w:sz w:val="18"/>
              </w:rPr>
            </w:r>
            <w:r w:rsidR="00B3329E" w:rsidRPr="00AB0BAE">
              <w:rPr>
                <w:rFonts w:ascii="Tahoma" w:hAnsi="Tahoma" w:cs="Tahoma"/>
                <w:noProof/>
                <w:webHidden/>
                <w:color w:val="000000" w:themeColor="text1"/>
                <w:sz w:val="18"/>
              </w:rPr>
              <w:fldChar w:fldCharType="separate"/>
            </w:r>
            <w:r w:rsidR="008D4CA6">
              <w:rPr>
                <w:rFonts w:ascii="Tahoma" w:hAnsi="Tahoma" w:cs="Tahoma"/>
                <w:noProof/>
                <w:webHidden/>
                <w:color w:val="000000" w:themeColor="text1"/>
                <w:sz w:val="18"/>
              </w:rPr>
              <w:t>9</w:t>
            </w:r>
            <w:r w:rsidR="00B3329E" w:rsidRPr="00AB0BAE">
              <w:rPr>
                <w:rFonts w:ascii="Tahoma" w:hAnsi="Tahoma" w:cs="Tahoma"/>
                <w:noProof/>
                <w:webHidden/>
                <w:color w:val="000000" w:themeColor="text1"/>
                <w:sz w:val="18"/>
              </w:rPr>
              <w:fldChar w:fldCharType="end"/>
            </w:r>
          </w:hyperlink>
        </w:p>
        <w:p w:rsidR="00B3329E" w:rsidRPr="00AB0BAE" w:rsidRDefault="00A01640">
          <w:pPr>
            <w:pStyle w:val="10"/>
            <w:tabs>
              <w:tab w:val="right" w:leader="dot" w:pos="9016"/>
            </w:tabs>
            <w:rPr>
              <w:rFonts w:ascii="Tahoma" w:hAnsi="Tahoma" w:cs="Tahoma"/>
              <w:noProof/>
              <w:color w:val="000000" w:themeColor="text1"/>
              <w:sz w:val="18"/>
              <w:lang w:eastAsia="en-GB"/>
            </w:rPr>
          </w:pPr>
          <w:hyperlink w:anchor="_Toc523311338" w:history="1">
            <w:r w:rsidR="00B3329E" w:rsidRPr="00AB0BAE">
              <w:rPr>
                <w:rStyle w:val="a4"/>
                <w:rFonts w:ascii="Tahoma" w:hAnsi="Tahoma" w:cs="Tahoma"/>
                <w:noProof/>
                <w:color w:val="000000" w:themeColor="text1"/>
                <w:sz w:val="18"/>
              </w:rPr>
              <w:t>2. Literature Review</w:t>
            </w:r>
            <w:r w:rsidR="00B3329E" w:rsidRPr="00AB0BAE">
              <w:rPr>
                <w:rFonts w:ascii="Tahoma" w:hAnsi="Tahoma" w:cs="Tahoma"/>
                <w:noProof/>
                <w:webHidden/>
                <w:color w:val="000000" w:themeColor="text1"/>
                <w:sz w:val="18"/>
              </w:rPr>
              <w:tab/>
            </w:r>
            <w:r w:rsidR="00B3329E" w:rsidRPr="00AB0BAE">
              <w:rPr>
                <w:rFonts w:ascii="Tahoma" w:hAnsi="Tahoma" w:cs="Tahoma"/>
                <w:noProof/>
                <w:webHidden/>
                <w:color w:val="000000" w:themeColor="text1"/>
                <w:sz w:val="18"/>
              </w:rPr>
              <w:fldChar w:fldCharType="begin"/>
            </w:r>
            <w:r w:rsidR="00B3329E" w:rsidRPr="00AB0BAE">
              <w:rPr>
                <w:rFonts w:ascii="Tahoma" w:hAnsi="Tahoma" w:cs="Tahoma"/>
                <w:noProof/>
                <w:webHidden/>
                <w:color w:val="000000" w:themeColor="text1"/>
                <w:sz w:val="18"/>
              </w:rPr>
              <w:instrText xml:space="preserve"> PAGEREF _Toc523311338 \h </w:instrText>
            </w:r>
            <w:r w:rsidR="00B3329E" w:rsidRPr="00AB0BAE">
              <w:rPr>
                <w:rFonts w:ascii="Tahoma" w:hAnsi="Tahoma" w:cs="Tahoma"/>
                <w:noProof/>
                <w:webHidden/>
                <w:color w:val="000000" w:themeColor="text1"/>
                <w:sz w:val="18"/>
              </w:rPr>
            </w:r>
            <w:r w:rsidR="00B3329E" w:rsidRPr="00AB0BAE">
              <w:rPr>
                <w:rFonts w:ascii="Tahoma" w:hAnsi="Tahoma" w:cs="Tahoma"/>
                <w:noProof/>
                <w:webHidden/>
                <w:color w:val="000000" w:themeColor="text1"/>
                <w:sz w:val="18"/>
              </w:rPr>
              <w:fldChar w:fldCharType="separate"/>
            </w:r>
            <w:r w:rsidR="008D4CA6">
              <w:rPr>
                <w:rFonts w:ascii="Tahoma" w:hAnsi="Tahoma" w:cs="Tahoma"/>
                <w:noProof/>
                <w:webHidden/>
                <w:color w:val="000000" w:themeColor="text1"/>
                <w:sz w:val="18"/>
              </w:rPr>
              <w:t>12</w:t>
            </w:r>
            <w:r w:rsidR="00B3329E" w:rsidRPr="00AB0BAE">
              <w:rPr>
                <w:rFonts w:ascii="Tahoma" w:hAnsi="Tahoma" w:cs="Tahoma"/>
                <w:noProof/>
                <w:webHidden/>
                <w:color w:val="000000" w:themeColor="text1"/>
                <w:sz w:val="18"/>
              </w:rPr>
              <w:fldChar w:fldCharType="end"/>
            </w:r>
          </w:hyperlink>
        </w:p>
        <w:p w:rsidR="00B3329E" w:rsidRPr="00AB0BAE" w:rsidRDefault="00A01640">
          <w:pPr>
            <w:pStyle w:val="10"/>
            <w:tabs>
              <w:tab w:val="right" w:leader="dot" w:pos="9016"/>
            </w:tabs>
            <w:rPr>
              <w:rFonts w:ascii="Tahoma" w:hAnsi="Tahoma" w:cs="Tahoma"/>
              <w:noProof/>
              <w:color w:val="000000" w:themeColor="text1"/>
              <w:sz w:val="18"/>
              <w:lang w:eastAsia="en-GB"/>
            </w:rPr>
          </w:pPr>
          <w:hyperlink w:anchor="_Toc523311344" w:history="1">
            <w:r w:rsidR="00B3329E" w:rsidRPr="00AB0BAE">
              <w:rPr>
                <w:rStyle w:val="a4"/>
                <w:rFonts w:ascii="Tahoma" w:hAnsi="Tahoma" w:cs="Tahoma"/>
                <w:noProof/>
                <w:color w:val="000000" w:themeColor="text1"/>
                <w:sz w:val="18"/>
              </w:rPr>
              <w:t>3. Methodology</w:t>
            </w:r>
            <w:r w:rsidR="00B3329E" w:rsidRPr="00AB0BAE">
              <w:rPr>
                <w:rFonts w:ascii="Tahoma" w:hAnsi="Tahoma" w:cs="Tahoma"/>
                <w:noProof/>
                <w:webHidden/>
                <w:color w:val="000000" w:themeColor="text1"/>
                <w:sz w:val="18"/>
              </w:rPr>
              <w:tab/>
            </w:r>
            <w:r w:rsidR="00B3329E" w:rsidRPr="00AB0BAE">
              <w:rPr>
                <w:rFonts w:ascii="Tahoma" w:hAnsi="Tahoma" w:cs="Tahoma"/>
                <w:noProof/>
                <w:webHidden/>
                <w:color w:val="000000" w:themeColor="text1"/>
                <w:sz w:val="18"/>
              </w:rPr>
              <w:fldChar w:fldCharType="begin"/>
            </w:r>
            <w:r w:rsidR="00B3329E" w:rsidRPr="00AB0BAE">
              <w:rPr>
                <w:rFonts w:ascii="Tahoma" w:hAnsi="Tahoma" w:cs="Tahoma"/>
                <w:noProof/>
                <w:webHidden/>
                <w:color w:val="000000" w:themeColor="text1"/>
                <w:sz w:val="18"/>
              </w:rPr>
              <w:instrText xml:space="preserve"> PAGEREF _Toc523311344 \h </w:instrText>
            </w:r>
            <w:r w:rsidR="00B3329E" w:rsidRPr="00AB0BAE">
              <w:rPr>
                <w:rFonts w:ascii="Tahoma" w:hAnsi="Tahoma" w:cs="Tahoma"/>
                <w:noProof/>
                <w:webHidden/>
                <w:color w:val="000000" w:themeColor="text1"/>
                <w:sz w:val="18"/>
              </w:rPr>
            </w:r>
            <w:r w:rsidR="00B3329E" w:rsidRPr="00AB0BAE">
              <w:rPr>
                <w:rFonts w:ascii="Tahoma" w:hAnsi="Tahoma" w:cs="Tahoma"/>
                <w:noProof/>
                <w:webHidden/>
                <w:color w:val="000000" w:themeColor="text1"/>
                <w:sz w:val="18"/>
              </w:rPr>
              <w:fldChar w:fldCharType="separate"/>
            </w:r>
            <w:r w:rsidR="008D4CA6">
              <w:rPr>
                <w:rFonts w:ascii="Tahoma" w:hAnsi="Tahoma" w:cs="Tahoma"/>
                <w:noProof/>
                <w:webHidden/>
                <w:color w:val="000000" w:themeColor="text1"/>
                <w:sz w:val="18"/>
              </w:rPr>
              <w:t>18</w:t>
            </w:r>
            <w:r w:rsidR="00B3329E" w:rsidRPr="00AB0BAE">
              <w:rPr>
                <w:rFonts w:ascii="Tahoma" w:hAnsi="Tahoma" w:cs="Tahoma"/>
                <w:noProof/>
                <w:webHidden/>
                <w:color w:val="000000" w:themeColor="text1"/>
                <w:sz w:val="18"/>
              </w:rPr>
              <w:fldChar w:fldCharType="end"/>
            </w:r>
          </w:hyperlink>
        </w:p>
        <w:p w:rsidR="00B3329E" w:rsidRPr="00AB0BAE" w:rsidRDefault="00A01640">
          <w:pPr>
            <w:pStyle w:val="10"/>
            <w:tabs>
              <w:tab w:val="right" w:leader="dot" w:pos="9016"/>
            </w:tabs>
            <w:rPr>
              <w:rFonts w:ascii="Tahoma" w:hAnsi="Tahoma" w:cs="Tahoma"/>
              <w:noProof/>
              <w:color w:val="000000" w:themeColor="text1"/>
              <w:sz w:val="18"/>
              <w:lang w:eastAsia="en-GB"/>
            </w:rPr>
          </w:pPr>
          <w:hyperlink w:anchor="_Toc523311348" w:history="1">
            <w:r w:rsidR="00B3329E" w:rsidRPr="00AB0BAE">
              <w:rPr>
                <w:rStyle w:val="a4"/>
                <w:rFonts w:ascii="Tahoma" w:hAnsi="Tahoma" w:cs="Tahoma"/>
                <w:noProof/>
                <w:color w:val="000000" w:themeColor="text1"/>
                <w:sz w:val="18"/>
              </w:rPr>
              <w:t>4. Data</w:t>
            </w:r>
            <w:r w:rsidR="00B3329E" w:rsidRPr="00AB0BAE">
              <w:rPr>
                <w:rFonts w:ascii="Tahoma" w:hAnsi="Tahoma" w:cs="Tahoma"/>
                <w:noProof/>
                <w:webHidden/>
                <w:color w:val="000000" w:themeColor="text1"/>
                <w:sz w:val="18"/>
              </w:rPr>
              <w:tab/>
            </w:r>
            <w:r w:rsidR="00B3329E" w:rsidRPr="00AB0BAE">
              <w:rPr>
                <w:rFonts w:ascii="Tahoma" w:hAnsi="Tahoma" w:cs="Tahoma"/>
                <w:noProof/>
                <w:webHidden/>
                <w:color w:val="000000" w:themeColor="text1"/>
                <w:sz w:val="18"/>
              </w:rPr>
              <w:fldChar w:fldCharType="begin"/>
            </w:r>
            <w:r w:rsidR="00B3329E" w:rsidRPr="00AB0BAE">
              <w:rPr>
                <w:rFonts w:ascii="Tahoma" w:hAnsi="Tahoma" w:cs="Tahoma"/>
                <w:noProof/>
                <w:webHidden/>
                <w:color w:val="000000" w:themeColor="text1"/>
                <w:sz w:val="18"/>
              </w:rPr>
              <w:instrText xml:space="preserve"> PAGEREF _Toc523311348 \h </w:instrText>
            </w:r>
            <w:r w:rsidR="00B3329E" w:rsidRPr="00AB0BAE">
              <w:rPr>
                <w:rFonts w:ascii="Tahoma" w:hAnsi="Tahoma" w:cs="Tahoma"/>
                <w:noProof/>
                <w:webHidden/>
                <w:color w:val="000000" w:themeColor="text1"/>
                <w:sz w:val="18"/>
              </w:rPr>
            </w:r>
            <w:r w:rsidR="00B3329E" w:rsidRPr="00AB0BAE">
              <w:rPr>
                <w:rFonts w:ascii="Tahoma" w:hAnsi="Tahoma" w:cs="Tahoma"/>
                <w:noProof/>
                <w:webHidden/>
                <w:color w:val="000000" w:themeColor="text1"/>
                <w:sz w:val="18"/>
              </w:rPr>
              <w:fldChar w:fldCharType="separate"/>
            </w:r>
            <w:r w:rsidR="008D4CA6">
              <w:rPr>
                <w:rFonts w:ascii="Tahoma" w:hAnsi="Tahoma" w:cs="Tahoma"/>
                <w:noProof/>
                <w:webHidden/>
                <w:color w:val="000000" w:themeColor="text1"/>
                <w:sz w:val="18"/>
              </w:rPr>
              <w:t>22</w:t>
            </w:r>
            <w:r w:rsidR="00B3329E" w:rsidRPr="00AB0BAE">
              <w:rPr>
                <w:rFonts w:ascii="Tahoma" w:hAnsi="Tahoma" w:cs="Tahoma"/>
                <w:noProof/>
                <w:webHidden/>
                <w:color w:val="000000" w:themeColor="text1"/>
                <w:sz w:val="18"/>
              </w:rPr>
              <w:fldChar w:fldCharType="end"/>
            </w:r>
          </w:hyperlink>
        </w:p>
        <w:p w:rsidR="00B3329E" w:rsidRPr="00AB0BAE" w:rsidRDefault="00A01640">
          <w:pPr>
            <w:pStyle w:val="10"/>
            <w:tabs>
              <w:tab w:val="right" w:leader="dot" w:pos="9016"/>
            </w:tabs>
            <w:rPr>
              <w:rFonts w:ascii="Tahoma" w:hAnsi="Tahoma" w:cs="Tahoma"/>
              <w:noProof/>
              <w:color w:val="000000" w:themeColor="text1"/>
              <w:sz w:val="18"/>
              <w:lang w:eastAsia="en-GB"/>
            </w:rPr>
          </w:pPr>
          <w:hyperlink w:anchor="_Toc523311354" w:history="1">
            <w:r w:rsidR="00B3329E" w:rsidRPr="00AB0BAE">
              <w:rPr>
                <w:rStyle w:val="a4"/>
                <w:rFonts w:ascii="Tahoma" w:hAnsi="Tahoma" w:cs="Tahoma"/>
                <w:noProof/>
                <w:color w:val="000000" w:themeColor="text1"/>
                <w:sz w:val="18"/>
              </w:rPr>
              <w:t>5. Results</w:t>
            </w:r>
            <w:r w:rsidR="00B3329E" w:rsidRPr="00AB0BAE">
              <w:rPr>
                <w:rFonts w:ascii="Tahoma" w:hAnsi="Tahoma" w:cs="Tahoma"/>
                <w:noProof/>
                <w:webHidden/>
                <w:color w:val="000000" w:themeColor="text1"/>
                <w:sz w:val="18"/>
              </w:rPr>
              <w:tab/>
            </w:r>
            <w:r w:rsidR="00B3329E" w:rsidRPr="00AB0BAE">
              <w:rPr>
                <w:rFonts w:ascii="Tahoma" w:hAnsi="Tahoma" w:cs="Tahoma"/>
                <w:noProof/>
                <w:webHidden/>
                <w:color w:val="000000" w:themeColor="text1"/>
                <w:sz w:val="18"/>
              </w:rPr>
              <w:fldChar w:fldCharType="begin"/>
            </w:r>
            <w:r w:rsidR="00B3329E" w:rsidRPr="00AB0BAE">
              <w:rPr>
                <w:rFonts w:ascii="Tahoma" w:hAnsi="Tahoma" w:cs="Tahoma"/>
                <w:noProof/>
                <w:webHidden/>
                <w:color w:val="000000" w:themeColor="text1"/>
                <w:sz w:val="18"/>
              </w:rPr>
              <w:instrText xml:space="preserve"> PAGEREF _Toc523311354 \h </w:instrText>
            </w:r>
            <w:r w:rsidR="00B3329E" w:rsidRPr="00AB0BAE">
              <w:rPr>
                <w:rFonts w:ascii="Tahoma" w:hAnsi="Tahoma" w:cs="Tahoma"/>
                <w:noProof/>
                <w:webHidden/>
                <w:color w:val="000000" w:themeColor="text1"/>
                <w:sz w:val="18"/>
              </w:rPr>
            </w:r>
            <w:r w:rsidR="00B3329E" w:rsidRPr="00AB0BAE">
              <w:rPr>
                <w:rFonts w:ascii="Tahoma" w:hAnsi="Tahoma" w:cs="Tahoma"/>
                <w:noProof/>
                <w:webHidden/>
                <w:color w:val="000000" w:themeColor="text1"/>
                <w:sz w:val="18"/>
              </w:rPr>
              <w:fldChar w:fldCharType="separate"/>
            </w:r>
            <w:r w:rsidR="008D4CA6">
              <w:rPr>
                <w:rFonts w:ascii="Tahoma" w:hAnsi="Tahoma" w:cs="Tahoma"/>
                <w:noProof/>
                <w:webHidden/>
                <w:color w:val="000000" w:themeColor="text1"/>
                <w:sz w:val="18"/>
              </w:rPr>
              <w:t>25</w:t>
            </w:r>
            <w:r w:rsidR="00B3329E" w:rsidRPr="00AB0BAE">
              <w:rPr>
                <w:rFonts w:ascii="Tahoma" w:hAnsi="Tahoma" w:cs="Tahoma"/>
                <w:noProof/>
                <w:webHidden/>
                <w:color w:val="000000" w:themeColor="text1"/>
                <w:sz w:val="18"/>
              </w:rPr>
              <w:fldChar w:fldCharType="end"/>
            </w:r>
          </w:hyperlink>
        </w:p>
        <w:p w:rsidR="00B3329E" w:rsidRPr="00AB0BAE" w:rsidRDefault="00A01640">
          <w:pPr>
            <w:pStyle w:val="10"/>
            <w:tabs>
              <w:tab w:val="right" w:leader="dot" w:pos="9016"/>
            </w:tabs>
            <w:rPr>
              <w:rFonts w:ascii="Tahoma" w:hAnsi="Tahoma" w:cs="Tahoma"/>
              <w:noProof/>
              <w:color w:val="000000" w:themeColor="text1"/>
              <w:sz w:val="18"/>
              <w:lang w:eastAsia="en-GB"/>
            </w:rPr>
          </w:pPr>
          <w:hyperlink w:anchor="_Toc523311368" w:history="1">
            <w:r w:rsidR="00B3329E" w:rsidRPr="00AB0BAE">
              <w:rPr>
                <w:rStyle w:val="a4"/>
                <w:rFonts w:ascii="Tahoma" w:hAnsi="Tahoma" w:cs="Tahoma"/>
                <w:noProof/>
                <w:color w:val="000000" w:themeColor="text1"/>
                <w:sz w:val="18"/>
              </w:rPr>
              <w:t>6. Discussion</w:t>
            </w:r>
            <w:r w:rsidR="00B3329E" w:rsidRPr="00AB0BAE">
              <w:rPr>
                <w:rFonts w:ascii="Tahoma" w:hAnsi="Tahoma" w:cs="Tahoma"/>
                <w:noProof/>
                <w:webHidden/>
                <w:color w:val="000000" w:themeColor="text1"/>
                <w:sz w:val="18"/>
              </w:rPr>
              <w:tab/>
            </w:r>
            <w:r w:rsidR="00B3329E" w:rsidRPr="00AB0BAE">
              <w:rPr>
                <w:rFonts w:ascii="Tahoma" w:hAnsi="Tahoma" w:cs="Tahoma"/>
                <w:noProof/>
                <w:webHidden/>
                <w:color w:val="000000" w:themeColor="text1"/>
                <w:sz w:val="18"/>
              </w:rPr>
              <w:fldChar w:fldCharType="begin"/>
            </w:r>
            <w:r w:rsidR="00B3329E" w:rsidRPr="00AB0BAE">
              <w:rPr>
                <w:rFonts w:ascii="Tahoma" w:hAnsi="Tahoma" w:cs="Tahoma"/>
                <w:noProof/>
                <w:webHidden/>
                <w:color w:val="000000" w:themeColor="text1"/>
                <w:sz w:val="18"/>
              </w:rPr>
              <w:instrText xml:space="preserve"> PAGEREF _Toc523311368 \h </w:instrText>
            </w:r>
            <w:r w:rsidR="00B3329E" w:rsidRPr="00AB0BAE">
              <w:rPr>
                <w:rFonts w:ascii="Tahoma" w:hAnsi="Tahoma" w:cs="Tahoma"/>
                <w:noProof/>
                <w:webHidden/>
                <w:color w:val="000000" w:themeColor="text1"/>
                <w:sz w:val="18"/>
              </w:rPr>
            </w:r>
            <w:r w:rsidR="00B3329E" w:rsidRPr="00AB0BAE">
              <w:rPr>
                <w:rFonts w:ascii="Tahoma" w:hAnsi="Tahoma" w:cs="Tahoma"/>
                <w:noProof/>
                <w:webHidden/>
                <w:color w:val="000000" w:themeColor="text1"/>
                <w:sz w:val="18"/>
              </w:rPr>
              <w:fldChar w:fldCharType="separate"/>
            </w:r>
            <w:r w:rsidR="008D4CA6">
              <w:rPr>
                <w:rFonts w:ascii="Tahoma" w:hAnsi="Tahoma" w:cs="Tahoma"/>
                <w:noProof/>
                <w:webHidden/>
                <w:color w:val="000000" w:themeColor="text1"/>
                <w:sz w:val="18"/>
              </w:rPr>
              <w:t>40</w:t>
            </w:r>
            <w:r w:rsidR="00B3329E" w:rsidRPr="00AB0BAE">
              <w:rPr>
                <w:rFonts w:ascii="Tahoma" w:hAnsi="Tahoma" w:cs="Tahoma"/>
                <w:noProof/>
                <w:webHidden/>
                <w:color w:val="000000" w:themeColor="text1"/>
                <w:sz w:val="18"/>
              </w:rPr>
              <w:fldChar w:fldCharType="end"/>
            </w:r>
          </w:hyperlink>
        </w:p>
        <w:p w:rsidR="00B3329E" w:rsidRPr="00AB0BAE" w:rsidRDefault="001E4ACF">
          <w:pPr>
            <w:pStyle w:val="10"/>
            <w:tabs>
              <w:tab w:val="right" w:leader="dot" w:pos="9016"/>
            </w:tabs>
            <w:rPr>
              <w:rFonts w:ascii="Tahoma" w:hAnsi="Tahoma" w:cs="Tahoma"/>
              <w:noProof/>
              <w:color w:val="000000" w:themeColor="text1"/>
              <w:sz w:val="18"/>
              <w:lang w:eastAsia="en-GB"/>
            </w:rPr>
          </w:pPr>
          <w:hyperlink w:anchor="_Toc523311372" w:history="1">
            <w:r w:rsidR="00B3329E" w:rsidRPr="00AB0BAE">
              <w:rPr>
                <w:rStyle w:val="a4"/>
                <w:rFonts w:ascii="Tahoma" w:hAnsi="Tahoma" w:cs="Tahoma"/>
                <w:noProof/>
                <w:color w:val="000000" w:themeColor="text1"/>
                <w:sz w:val="18"/>
              </w:rPr>
              <w:t>7. Conclusions</w:t>
            </w:r>
            <w:r w:rsidR="00B3329E" w:rsidRPr="00AB0BAE">
              <w:rPr>
                <w:rFonts w:ascii="Tahoma" w:hAnsi="Tahoma" w:cs="Tahoma"/>
                <w:noProof/>
                <w:webHidden/>
                <w:color w:val="000000" w:themeColor="text1"/>
                <w:sz w:val="18"/>
              </w:rPr>
              <w:tab/>
            </w:r>
            <w:r w:rsidR="00B3329E" w:rsidRPr="00AB0BAE">
              <w:rPr>
                <w:rFonts w:ascii="Tahoma" w:hAnsi="Tahoma" w:cs="Tahoma"/>
                <w:noProof/>
                <w:webHidden/>
                <w:color w:val="000000" w:themeColor="text1"/>
                <w:sz w:val="18"/>
              </w:rPr>
              <w:fldChar w:fldCharType="begin"/>
            </w:r>
            <w:r w:rsidR="00B3329E" w:rsidRPr="00AB0BAE">
              <w:rPr>
                <w:rFonts w:ascii="Tahoma" w:hAnsi="Tahoma" w:cs="Tahoma"/>
                <w:noProof/>
                <w:webHidden/>
                <w:color w:val="000000" w:themeColor="text1"/>
                <w:sz w:val="18"/>
              </w:rPr>
              <w:instrText xml:space="preserve"> PAGEREF _Toc523311372 \h </w:instrText>
            </w:r>
            <w:r w:rsidR="00B3329E" w:rsidRPr="00AB0BAE">
              <w:rPr>
                <w:rFonts w:ascii="Tahoma" w:hAnsi="Tahoma" w:cs="Tahoma"/>
                <w:noProof/>
                <w:webHidden/>
                <w:color w:val="000000" w:themeColor="text1"/>
                <w:sz w:val="18"/>
              </w:rPr>
            </w:r>
            <w:r w:rsidR="00B3329E" w:rsidRPr="00AB0BAE">
              <w:rPr>
                <w:rFonts w:ascii="Tahoma" w:hAnsi="Tahoma" w:cs="Tahoma"/>
                <w:noProof/>
                <w:webHidden/>
                <w:color w:val="000000" w:themeColor="text1"/>
                <w:sz w:val="18"/>
              </w:rPr>
              <w:fldChar w:fldCharType="separate"/>
            </w:r>
            <w:r w:rsidR="008D4CA6">
              <w:rPr>
                <w:rFonts w:ascii="Tahoma" w:hAnsi="Tahoma" w:cs="Tahoma"/>
                <w:noProof/>
                <w:webHidden/>
                <w:color w:val="000000" w:themeColor="text1"/>
                <w:sz w:val="18"/>
              </w:rPr>
              <w:t>43</w:t>
            </w:r>
            <w:r w:rsidR="00B3329E" w:rsidRPr="00AB0BAE">
              <w:rPr>
                <w:rFonts w:ascii="Tahoma" w:hAnsi="Tahoma" w:cs="Tahoma"/>
                <w:noProof/>
                <w:webHidden/>
                <w:color w:val="000000" w:themeColor="text1"/>
                <w:sz w:val="18"/>
              </w:rPr>
              <w:fldChar w:fldCharType="end"/>
            </w:r>
          </w:hyperlink>
        </w:p>
        <w:p w:rsidR="00B3329E" w:rsidRPr="00AB0BAE" w:rsidRDefault="00A01640">
          <w:pPr>
            <w:pStyle w:val="10"/>
            <w:tabs>
              <w:tab w:val="right" w:leader="dot" w:pos="9016"/>
            </w:tabs>
            <w:rPr>
              <w:rFonts w:ascii="Tahoma" w:hAnsi="Tahoma" w:cs="Tahoma"/>
              <w:noProof/>
              <w:color w:val="000000" w:themeColor="text1"/>
              <w:sz w:val="18"/>
              <w:lang w:eastAsia="en-GB"/>
            </w:rPr>
          </w:pPr>
          <w:hyperlink w:anchor="_Toc523311373" w:history="1">
            <w:r w:rsidR="00B3329E" w:rsidRPr="00AB0BAE">
              <w:rPr>
                <w:rStyle w:val="a4"/>
                <w:rFonts w:ascii="Tahoma" w:hAnsi="Tahoma" w:cs="Tahoma"/>
                <w:noProof/>
                <w:color w:val="000000" w:themeColor="text1"/>
                <w:sz w:val="18"/>
              </w:rPr>
              <w:t>8. References</w:t>
            </w:r>
            <w:r w:rsidR="00B3329E" w:rsidRPr="00AB0BAE">
              <w:rPr>
                <w:rFonts w:ascii="Tahoma" w:hAnsi="Tahoma" w:cs="Tahoma"/>
                <w:noProof/>
                <w:webHidden/>
                <w:color w:val="000000" w:themeColor="text1"/>
                <w:sz w:val="18"/>
              </w:rPr>
              <w:tab/>
            </w:r>
            <w:r w:rsidR="00B3329E" w:rsidRPr="00AB0BAE">
              <w:rPr>
                <w:rFonts w:ascii="Tahoma" w:hAnsi="Tahoma" w:cs="Tahoma"/>
                <w:noProof/>
                <w:webHidden/>
                <w:color w:val="000000" w:themeColor="text1"/>
                <w:sz w:val="18"/>
              </w:rPr>
              <w:fldChar w:fldCharType="begin"/>
            </w:r>
            <w:r w:rsidR="00B3329E" w:rsidRPr="00AB0BAE">
              <w:rPr>
                <w:rFonts w:ascii="Tahoma" w:hAnsi="Tahoma" w:cs="Tahoma"/>
                <w:noProof/>
                <w:webHidden/>
                <w:color w:val="000000" w:themeColor="text1"/>
                <w:sz w:val="18"/>
              </w:rPr>
              <w:instrText xml:space="preserve"> PAGEREF _Toc523311373 \h </w:instrText>
            </w:r>
            <w:r w:rsidR="00B3329E" w:rsidRPr="00AB0BAE">
              <w:rPr>
                <w:rFonts w:ascii="Tahoma" w:hAnsi="Tahoma" w:cs="Tahoma"/>
                <w:noProof/>
                <w:webHidden/>
                <w:color w:val="000000" w:themeColor="text1"/>
                <w:sz w:val="18"/>
              </w:rPr>
            </w:r>
            <w:r w:rsidR="00B3329E" w:rsidRPr="00AB0BAE">
              <w:rPr>
                <w:rFonts w:ascii="Tahoma" w:hAnsi="Tahoma" w:cs="Tahoma"/>
                <w:noProof/>
                <w:webHidden/>
                <w:color w:val="000000" w:themeColor="text1"/>
                <w:sz w:val="18"/>
              </w:rPr>
              <w:fldChar w:fldCharType="separate"/>
            </w:r>
            <w:r w:rsidR="008D4CA6">
              <w:rPr>
                <w:rFonts w:ascii="Tahoma" w:hAnsi="Tahoma" w:cs="Tahoma"/>
                <w:noProof/>
                <w:webHidden/>
                <w:color w:val="000000" w:themeColor="text1"/>
                <w:sz w:val="18"/>
              </w:rPr>
              <w:t>45</w:t>
            </w:r>
            <w:r w:rsidR="00B3329E" w:rsidRPr="00AB0BAE">
              <w:rPr>
                <w:rFonts w:ascii="Tahoma" w:hAnsi="Tahoma" w:cs="Tahoma"/>
                <w:noProof/>
                <w:webHidden/>
                <w:color w:val="000000" w:themeColor="text1"/>
                <w:sz w:val="18"/>
              </w:rPr>
              <w:fldChar w:fldCharType="end"/>
            </w:r>
          </w:hyperlink>
        </w:p>
        <w:p w:rsidR="00AB0BAE" w:rsidRDefault="00A426E5" w:rsidP="000974F4">
          <w:pPr>
            <w:rPr>
              <w:rFonts w:ascii="Tahoma" w:hAnsi="Tahoma" w:cs="Tahoma"/>
              <w:b/>
              <w:bCs/>
              <w:noProof/>
              <w:color w:val="000000" w:themeColor="text1"/>
              <w:sz w:val="18"/>
            </w:rPr>
          </w:pPr>
          <w:r w:rsidRPr="00AB0BAE">
            <w:rPr>
              <w:rFonts w:ascii="Tahoma" w:hAnsi="Tahoma" w:cs="Tahoma"/>
              <w:b/>
              <w:bCs/>
              <w:noProof/>
              <w:color w:val="000000" w:themeColor="text1"/>
              <w:sz w:val="18"/>
            </w:rPr>
            <w:fldChar w:fldCharType="end"/>
          </w:r>
        </w:p>
      </w:sdtContent>
    </w:sdt>
    <w:bookmarkStart w:id="6" w:name="_Toc523311337" w:displacedByCustomXml="prev"/>
    <w:p w:rsidR="008938D1" w:rsidRDefault="008938D1" w:rsidP="001E4ACF">
      <w:pPr>
        <w:rPr>
          <w:rFonts w:ascii="Tahoma" w:hAnsi="Tahoma" w:cs="Tahoma"/>
          <w:b/>
          <w:color w:val="000000" w:themeColor="text1"/>
          <w:sz w:val="28"/>
          <w:szCs w:val="28"/>
        </w:rPr>
      </w:pPr>
    </w:p>
    <w:p w:rsidR="008938D1" w:rsidRPr="008938D1" w:rsidRDefault="008938D1" w:rsidP="00F32FB5">
      <w:pPr>
        <w:rPr>
          <w:rFonts w:ascii="Tahoma" w:hAnsi="Tahoma" w:cs="Tahoma"/>
          <w:b/>
          <w:color w:val="000000" w:themeColor="text1"/>
          <w:sz w:val="28"/>
          <w:szCs w:val="28"/>
        </w:rPr>
      </w:pPr>
    </w:p>
    <w:p w:rsidR="000974F4" w:rsidRDefault="000974F4">
      <w:pPr>
        <w:rPr>
          <w:rFonts w:ascii="Tahoma" w:eastAsiaTheme="majorEastAsia" w:hAnsi="Tahoma" w:cs="Tahoma"/>
          <w:b/>
          <w:color w:val="000000" w:themeColor="text1"/>
          <w:sz w:val="28"/>
          <w:szCs w:val="28"/>
        </w:rPr>
      </w:pPr>
      <w:r>
        <w:rPr>
          <w:rFonts w:cs="Tahoma"/>
          <w:color w:val="000000" w:themeColor="text1"/>
          <w:szCs w:val="28"/>
        </w:rPr>
        <w:br w:type="page"/>
      </w:r>
    </w:p>
    <w:p w:rsidR="00AF16F2" w:rsidRDefault="00AF16F2" w:rsidP="005469A2">
      <w:pPr>
        <w:pStyle w:val="1"/>
        <w:jc w:val="center"/>
        <w:rPr>
          <w:rFonts w:cs="Tahoma"/>
          <w:color w:val="000000" w:themeColor="text1"/>
          <w:szCs w:val="28"/>
        </w:rPr>
      </w:pPr>
      <w:r>
        <w:rPr>
          <w:rFonts w:cs="Tahoma"/>
          <w:color w:val="000000" w:themeColor="text1"/>
          <w:szCs w:val="28"/>
        </w:rPr>
        <w:lastRenderedPageBreak/>
        <w:t>Abstract</w:t>
      </w:r>
    </w:p>
    <w:p w:rsidR="00996171" w:rsidRPr="00996171" w:rsidRDefault="00996171" w:rsidP="005469A2"/>
    <w:p w:rsidR="00AF04FB" w:rsidRDefault="00AF16F2" w:rsidP="005469A2">
      <w:r>
        <w:t xml:space="preserve">There is huge demand for investment in new and existing infrastructure projects, estimated by the OECD to be USD 6.3 trillion, to support global growth through to 2030.  The private sector is expected to contribute to the financing of these projects </w:t>
      </w:r>
      <w:r w:rsidR="000D4AB5">
        <w:t>and</w:t>
      </w:r>
      <w:r>
        <w:t xml:space="preserve"> ensuring potential investors understand </w:t>
      </w:r>
      <w:r w:rsidR="00286FBC">
        <w:t xml:space="preserve">the nature of the asset class is critical for encouraging </w:t>
      </w:r>
      <w:r w:rsidR="00EC020C">
        <w:t>their participation.  Investments in unl</w:t>
      </w:r>
      <w:r w:rsidR="000D4AB5">
        <w:t>isted infrastructure projects are</w:t>
      </w:r>
      <w:r w:rsidR="00EC020C">
        <w:t xml:space="preserve"> widely regarded as </w:t>
      </w:r>
      <w:r w:rsidR="00EE7D1F">
        <w:t xml:space="preserve">a </w:t>
      </w:r>
      <w:r w:rsidR="000D4AB5">
        <w:t xml:space="preserve">source of </w:t>
      </w:r>
      <w:r w:rsidR="00EC020C">
        <w:t>div</w:t>
      </w:r>
      <w:r w:rsidR="00EE7D1F">
        <w:t xml:space="preserve">ersifying </w:t>
      </w:r>
      <w:r w:rsidR="000D4AB5">
        <w:t>returns</w:t>
      </w:r>
      <w:r w:rsidR="00EE7D1F">
        <w:t xml:space="preserve"> that can improve risk-adjusted returns</w:t>
      </w:r>
      <w:r w:rsidR="001A7147">
        <w:t xml:space="preserve">. </w:t>
      </w:r>
      <w:r w:rsidR="00EC020C">
        <w:t xml:space="preserve"> </w:t>
      </w:r>
      <w:r w:rsidR="001A7147">
        <w:t>H</w:t>
      </w:r>
      <w:r w:rsidR="00EC020C">
        <w:t xml:space="preserve">owever, </w:t>
      </w:r>
      <w:r w:rsidR="001A7147">
        <w:t xml:space="preserve">diversification studies into listed infrastructure have reached </w:t>
      </w:r>
      <w:r w:rsidR="000D4AB5">
        <w:t xml:space="preserve">conflicting views on </w:t>
      </w:r>
      <w:r w:rsidR="00996171">
        <w:t>its equity diversification, with a recent trend towards dismissing it as an inferior, fake infrastructure that offers little portfolio benefits</w:t>
      </w:r>
      <w:r w:rsidR="000D4AB5">
        <w:t xml:space="preserve">.  </w:t>
      </w:r>
      <w:r w:rsidR="00EC020C">
        <w:t>Consequently, investors are presented with co</w:t>
      </w:r>
      <w:r w:rsidR="008903F6">
        <w:t>nflicting information, creating a reluctance to invest that reduce</w:t>
      </w:r>
      <w:r w:rsidR="00EC020C">
        <w:t xml:space="preserve"> a capital </w:t>
      </w:r>
      <w:r w:rsidR="008903F6">
        <w:t>availability</w:t>
      </w:r>
      <w:r w:rsidR="00EC020C">
        <w:t xml:space="preserve"> and </w:t>
      </w:r>
      <w:r w:rsidR="008903F6">
        <w:t>increases</w:t>
      </w:r>
      <w:r w:rsidR="00EC020C">
        <w:t xml:space="preserve"> financing cost</w:t>
      </w:r>
      <w:r w:rsidR="008903F6">
        <w:t>s</w:t>
      </w:r>
      <w:r w:rsidR="00EC020C">
        <w:t xml:space="preserve"> </w:t>
      </w:r>
      <w:r w:rsidR="00AF04FB">
        <w:t>making it harder to meet the new investment that is needed</w:t>
      </w:r>
      <w:r w:rsidR="00853A05">
        <w:t>.</w:t>
      </w:r>
      <w:r w:rsidR="000D4AB5">
        <w:t xml:space="preserve">  </w:t>
      </w:r>
    </w:p>
    <w:p w:rsidR="005324B5" w:rsidRDefault="00AF04FB" w:rsidP="005469A2">
      <w:r>
        <w:t xml:space="preserve">In this work the authors review previous </w:t>
      </w:r>
      <w:r w:rsidR="00895DD0">
        <w:t xml:space="preserve">listed infrastructure studies </w:t>
      </w:r>
      <w:r>
        <w:t xml:space="preserve">to identify </w:t>
      </w:r>
      <w:r w:rsidR="000C5145">
        <w:t xml:space="preserve">explanations for the </w:t>
      </w:r>
      <w:r w:rsidR="00996171">
        <w:t>varying conclusions</w:t>
      </w:r>
      <w:r w:rsidR="000C5145">
        <w:t xml:space="preserve">.  </w:t>
      </w:r>
      <w:r w:rsidR="00996171">
        <w:t>They</w:t>
      </w:r>
      <w:r w:rsidR="00DB03BE">
        <w:t xml:space="preserve"> have typically focused on a subset of the listed infrastructure sector and short time periods</w:t>
      </w:r>
      <w:r w:rsidR="00996171">
        <w:t>, which has led to inconsistent results</w:t>
      </w:r>
      <w:r w:rsidR="00DB03BE">
        <w:t xml:space="preserve">.  </w:t>
      </w:r>
      <w:r w:rsidR="00895DD0">
        <w:t>The</w:t>
      </w:r>
      <w:r w:rsidR="00DB03BE">
        <w:t xml:space="preserve"> review of these has </w:t>
      </w:r>
      <w:r w:rsidR="00996171">
        <w:t>guided this study’s comprehensive</w:t>
      </w:r>
      <w:r w:rsidR="00895DD0">
        <w:t xml:space="preserve"> </w:t>
      </w:r>
      <w:r w:rsidR="00996171">
        <w:t>review</w:t>
      </w:r>
      <w:r w:rsidR="00895DD0">
        <w:t xml:space="preserve"> into listed infrastructure to determine the correlation of infrastructure over different time periods and </w:t>
      </w:r>
      <w:r w:rsidR="00996171">
        <w:t>equity correlation across</w:t>
      </w:r>
      <w:r w:rsidR="00895DD0">
        <w:t xml:space="preserve"> subsets of the asset class, including individual stocks, stock sectors, active funds and benchmark indices.</w:t>
      </w:r>
    </w:p>
    <w:p w:rsidR="001A7147" w:rsidRDefault="00DB03BE" w:rsidP="005469A2">
      <w:pPr>
        <w:rPr>
          <w:rFonts w:asciiTheme="majorHAnsi" w:hAnsiTheme="majorHAnsi" w:cs="AdvOT483a8203"/>
          <w:color w:val="000000"/>
        </w:rPr>
      </w:pPr>
      <w:r>
        <w:t>Our findings agree</w:t>
      </w:r>
      <w:r w:rsidR="007B4AB9">
        <w:t xml:space="preserve"> that</w:t>
      </w:r>
      <w:r>
        <w:t xml:space="preserve"> not</w:t>
      </w:r>
      <w:r w:rsidR="007B4AB9">
        <w:t xml:space="preserve"> all listed infrastructure investments p</w:t>
      </w:r>
      <w:r>
        <w:t>rovide equity diversification but</w:t>
      </w:r>
      <w:r w:rsidR="007B4AB9">
        <w:t xml:space="preserve"> </w:t>
      </w:r>
      <w:r>
        <w:t xml:space="preserve">within this heterogeneous asset class </w:t>
      </w:r>
      <w:r w:rsidR="009551C3">
        <w:t xml:space="preserve">there are stocks and sectors </w:t>
      </w:r>
      <w:r>
        <w:t xml:space="preserve">that do.  Surprisingly, this does not result in active funds and benchmark indices with a similar low correlation profile, instead these investment </w:t>
      </w:r>
      <w:r w:rsidR="00996171">
        <w:t>vehicles</w:t>
      </w:r>
      <w:r>
        <w:t xml:space="preserve"> through which many investors will seek to access listed </w:t>
      </w:r>
      <w:r w:rsidR="00996171">
        <w:t>infrastructure</w:t>
      </w:r>
      <w:r>
        <w:t>, has much higher correlation.</w:t>
      </w:r>
      <w:r w:rsidR="00996171">
        <w:t xml:space="preserve">  Furthermore, correlations are found to vary over time, particularly in response to extreme market events.</w:t>
      </w:r>
      <w:r w:rsidR="008903F6">
        <w:rPr>
          <w:rFonts w:asciiTheme="majorHAnsi" w:hAnsiTheme="majorHAnsi" w:cs="AdvOT483a8203"/>
          <w:color w:val="000000"/>
        </w:rPr>
        <w:tab/>
      </w:r>
    </w:p>
    <w:p w:rsidR="00125C64" w:rsidRPr="00B3329E" w:rsidRDefault="000416ED" w:rsidP="002947E6">
      <w:pPr>
        <w:pStyle w:val="1"/>
        <w:rPr>
          <w:rFonts w:cs="Tahoma"/>
          <w:color w:val="000000" w:themeColor="text1"/>
          <w:szCs w:val="28"/>
        </w:rPr>
      </w:pPr>
      <w:r w:rsidRPr="00B3329E">
        <w:rPr>
          <w:rFonts w:cs="Tahoma"/>
          <w:color w:val="000000" w:themeColor="text1"/>
          <w:szCs w:val="28"/>
        </w:rPr>
        <w:t>1.</w:t>
      </w:r>
      <w:r w:rsidR="009E07CA" w:rsidRPr="00B3329E">
        <w:rPr>
          <w:rFonts w:cs="Tahoma"/>
          <w:color w:val="000000" w:themeColor="text1"/>
          <w:szCs w:val="28"/>
        </w:rPr>
        <w:t xml:space="preserve"> </w:t>
      </w:r>
      <w:r w:rsidR="00A34387" w:rsidRPr="00B3329E">
        <w:rPr>
          <w:rFonts w:cs="Tahoma"/>
          <w:color w:val="000000" w:themeColor="text1"/>
          <w:szCs w:val="28"/>
        </w:rPr>
        <w:t>Introduction</w:t>
      </w:r>
      <w:bookmarkEnd w:id="6"/>
    </w:p>
    <w:p w:rsidR="004A7A14" w:rsidRPr="00B3329E" w:rsidRDefault="004A7A14" w:rsidP="00EA6483">
      <w:pPr>
        <w:spacing w:after="0"/>
        <w:rPr>
          <w:rFonts w:ascii="Tahoma" w:hAnsi="Tahoma" w:cs="Tahoma"/>
          <w:b/>
          <w:color w:val="000000" w:themeColor="text1"/>
          <w:u w:val="single"/>
        </w:rPr>
      </w:pPr>
    </w:p>
    <w:p w:rsidR="0020420E" w:rsidRPr="00B3329E" w:rsidRDefault="004A7A14" w:rsidP="00EA6483">
      <w:pPr>
        <w:spacing w:after="0"/>
        <w:rPr>
          <w:rFonts w:ascii="Tahoma" w:hAnsi="Tahoma" w:cs="Tahoma"/>
          <w:color w:val="000000" w:themeColor="text1"/>
        </w:rPr>
      </w:pPr>
      <w:r w:rsidRPr="00B3329E">
        <w:rPr>
          <w:rFonts w:ascii="Tahoma" w:hAnsi="Tahoma" w:cs="Tahoma"/>
          <w:color w:val="000000" w:themeColor="text1"/>
        </w:rPr>
        <w:t>The</w:t>
      </w:r>
      <w:r w:rsidR="000C597F" w:rsidRPr="00B3329E">
        <w:rPr>
          <w:rFonts w:ascii="Tahoma" w:hAnsi="Tahoma" w:cs="Tahoma"/>
          <w:color w:val="000000" w:themeColor="text1"/>
        </w:rPr>
        <w:t xml:space="preserve"> OECD</w:t>
      </w:r>
      <w:r w:rsidRPr="00B3329E">
        <w:rPr>
          <w:rFonts w:ascii="Tahoma" w:hAnsi="Tahoma" w:cs="Tahoma"/>
          <w:color w:val="000000" w:themeColor="text1"/>
        </w:rPr>
        <w:t xml:space="preserve"> </w:t>
      </w:r>
      <w:r w:rsidR="000C597F" w:rsidRPr="00B3329E">
        <w:rPr>
          <w:rFonts w:ascii="Tahoma" w:hAnsi="Tahoma" w:cs="Tahoma"/>
          <w:color w:val="000000" w:themeColor="text1"/>
        </w:rPr>
        <w:t xml:space="preserve">(2017) </w:t>
      </w:r>
      <w:r w:rsidRPr="00B3329E">
        <w:rPr>
          <w:rFonts w:ascii="Tahoma" w:hAnsi="Tahoma" w:cs="Tahoma"/>
          <w:color w:val="000000" w:themeColor="text1"/>
        </w:rPr>
        <w:t>estimate</w:t>
      </w:r>
      <w:r w:rsidR="000C597F" w:rsidRPr="00B3329E">
        <w:rPr>
          <w:rFonts w:ascii="Tahoma" w:hAnsi="Tahoma" w:cs="Tahoma"/>
          <w:color w:val="000000" w:themeColor="text1"/>
        </w:rPr>
        <w:t>s</w:t>
      </w:r>
      <w:r w:rsidR="006E5278" w:rsidRPr="00B3329E">
        <w:rPr>
          <w:rFonts w:ascii="Tahoma" w:hAnsi="Tahoma" w:cs="Tahoma"/>
          <w:color w:val="000000" w:themeColor="text1"/>
        </w:rPr>
        <w:t xml:space="preserve"> that</w:t>
      </w:r>
      <w:r w:rsidR="00850585" w:rsidRPr="00B3329E">
        <w:rPr>
          <w:rFonts w:ascii="Tahoma" w:hAnsi="Tahoma" w:cs="Tahoma"/>
          <w:color w:val="000000" w:themeColor="text1"/>
        </w:rPr>
        <w:t xml:space="preserve"> </w:t>
      </w:r>
      <w:r w:rsidR="00FD1940" w:rsidRPr="00B3329E">
        <w:rPr>
          <w:rFonts w:ascii="Tahoma" w:hAnsi="Tahoma" w:cs="Tahoma"/>
          <w:color w:val="000000" w:themeColor="text1"/>
        </w:rPr>
        <w:t xml:space="preserve">an </w:t>
      </w:r>
      <w:r w:rsidR="00850585" w:rsidRPr="00B3329E">
        <w:rPr>
          <w:rFonts w:ascii="Tahoma" w:hAnsi="Tahoma" w:cs="Tahoma"/>
          <w:color w:val="000000" w:themeColor="text1"/>
        </w:rPr>
        <w:t>annual</w:t>
      </w:r>
      <w:r w:rsidR="006E5278" w:rsidRPr="00B3329E">
        <w:rPr>
          <w:rFonts w:ascii="Tahoma" w:hAnsi="Tahoma" w:cs="Tahoma"/>
          <w:color w:val="000000" w:themeColor="text1"/>
        </w:rPr>
        <w:t xml:space="preserve"> infrastructure</w:t>
      </w:r>
      <w:r w:rsidR="000C597F" w:rsidRPr="00B3329E">
        <w:rPr>
          <w:rFonts w:ascii="Tahoma" w:hAnsi="Tahoma" w:cs="Tahoma"/>
          <w:color w:val="000000" w:themeColor="text1"/>
        </w:rPr>
        <w:t xml:space="preserve"> </w:t>
      </w:r>
      <w:r w:rsidR="00850585" w:rsidRPr="00B3329E">
        <w:rPr>
          <w:rFonts w:ascii="Tahoma" w:hAnsi="Tahoma" w:cs="Tahoma"/>
          <w:color w:val="000000" w:themeColor="text1"/>
        </w:rPr>
        <w:t xml:space="preserve">investment of </w:t>
      </w:r>
      <w:r w:rsidR="000C597F" w:rsidRPr="00B3329E">
        <w:rPr>
          <w:rFonts w:ascii="Tahoma" w:hAnsi="Tahoma" w:cs="Tahoma"/>
          <w:color w:val="000000" w:themeColor="text1"/>
        </w:rPr>
        <w:t xml:space="preserve">USD 6.3 trillion </w:t>
      </w:r>
      <w:r w:rsidR="006E5278" w:rsidRPr="00B3329E">
        <w:rPr>
          <w:rFonts w:ascii="Tahoma" w:hAnsi="Tahoma" w:cs="Tahoma"/>
          <w:color w:val="000000" w:themeColor="text1"/>
        </w:rPr>
        <w:t xml:space="preserve">is required to </w:t>
      </w:r>
      <w:r w:rsidR="000C597F" w:rsidRPr="00B3329E">
        <w:rPr>
          <w:rFonts w:ascii="Tahoma" w:hAnsi="Tahoma" w:cs="Tahoma"/>
          <w:color w:val="000000" w:themeColor="text1"/>
        </w:rPr>
        <w:t xml:space="preserve">support </w:t>
      </w:r>
      <w:r w:rsidR="00FD1940" w:rsidRPr="00B3329E">
        <w:rPr>
          <w:rFonts w:ascii="Tahoma" w:hAnsi="Tahoma" w:cs="Tahoma"/>
          <w:color w:val="000000" w:themeColor="text1"/>
        </w:rPr>
        <w:t xml:space="preserve">global </w:t>
      </w:r>
      <w:r w:rsidR="000C597F" w:rsidRPr="00B3329E">
        <w:rPr>
          <w:rFonts w:ascii="Tahoma" w:hAnsi="Tahoma" w:cs="Tahoma"/>
          <w:color w:val="000000" w:themeColor="text1"/>
        </w:rPr>
        <w:t>growth and development</w:t>
      </w:r>
      <w:r w:rsidR="00850585" w:rsidRPr="00B3329E">
        <w:rPr>
          <w:rFonts w:ascii="Tahoma" w:hAnsi="Tahoma" w:cs="Tahoma"/>
          <w:color w:val="000000" w:themeColor="text1"/>
        </w:rPr>
        <w:t xml:space="preserve"> through to 2030</w:t>
      </w:r>
      <w:r w:rsidR="000C597F" w:rsidRPr="00B3329E">
        <w:rPr>
          <w:rFonts w:ascii="Tahoma" w:hAnsi="Tahoma" w:cs="Tahoma"/>
          <w:color w:val="000000" w:themeColor="text1"/>
        </w:rPr>
        <w:t>.</w:t>
      </w:r>
      <w:r w:rsidR="00FD1940" w:rsidRPr="00B3329E">
        <w:rPr>
          <w:rFonts w:ascii="Tahoma" w:hAnsi="Tahoma" w:cs="Tahoma"/>
          <w:color w:val="000000" w:themeColor="text1"/>
        </w:rPr>
        <w:t xml:space="preserve">  A combination of public and private sector investment is needed to m</w:t>
      </w:r>
      <w:r w:rsidR="00C2477C" w:rsidRPr="00B3329E">
        <w:rPr>
          <w:rFonts w:ascii="Tahoma" w:hAnsi="Tahoma" w:cs="Tahoma"/>
          <w:color w:val="000000" w:themeColor="text1"/>
        </w:rPr>
        <w:t>eet</w:t>
      </w:r>
      <w:r w:rsidR="00FD1940" w:rsidRPr="00B3329E">
        <w:rPr>
          <w:rFonts w:ascii="Tahoma" w:hAnsi="Tahoma" w:cs="Tahoma"/>
          <w:color w:val="000000" w:themeColor="text1"/>
        </w:rPr>
        <w:t xml:space="preserve"> the large-scale </w:t>
      </w:r>
      <w:r w:rsidR="00C2477C" w:rsidRPr="00B3329E">
        <w:rPr>
          <w:rFonts w:ascii="Tahoma" w:hAnsi="Tahoma" w:cs="Tahoma"/>
          <w:color w:val="000000" w:themeColor="text1"/>
        </w:rPr>
        <w:t xml:space="preserve">investment </w:t>
      </w:r>
      <w:r w:rsidR="00FD1940" w:rsidRPr="00B3329E">
        <w:rPr>
          <w:rFonts w:ascii="Tahoma" w:hAnsi="Tahoma" w:cs="Tahoma"/>
          <w:color w:val="000000" w:themeColor="text1"/>
        </w:rPr>
        <w:t xml:space="preserve">necessary to develop projects that facilitate essential services.  The attraction for the private sector is that these unique assets typically </w:t>
      </w:r>
      <w:r w:rsidR="00977C2E" w:rsidRPr="00B3329E">
        <w:rPr>
          <w:rFonts w:ascii="Tahoma" w:hAnsi="Tahoma" w:cs="Tahoma"/>
          <w:color w:val="000000" w:themeColor="text1"/>
        </w:rPr>
        <w:t xml:space="preserve">have </w:t>
      </w:r>
      <w:r w:rsidR="00C2477C" w:rsidRPr="00B3329E">
        <w:rPr>
          <w:rFonts w:ascii="Tahoma" w:hAnsi="Tahoma" w:cs="Tahoma"/>
          <w:color w:val="000000" w:themeColor="text1"/>
        </w:rPr>
        <w:t>a monopolistic</w:t>
      </w:r>
      <w:r w:rsidR="00FD1940" w:rsidRPr="00B3329E">
        <w:rPr>
          <w:rFonts w:ascii="Tahoma" w:hAnsi="Tahoma" w:cs="Tahoma"/>
          <w:color w:val="000000" w:themeColor="text1"/>
        </w:rPr>
        <w:t xml:space="preserve"> position with high barriers to entry and</w:t>
      </w:r>
      <w:r w:rsidR="00977C2E" w:rsidRPr="00B3329E">
        <w:rPr>
          <w:rFonts w:ascii="Tahoma" w:hAnsi="Tahoma" w:cs="Tahoma"/>
          <w:color w:val="000000" w:themeColor="text1"/>
        </w:rPr>
        <w:t xml:space="preserve"> inelastic </w:t>
      </w:r>
      <w:r w:rsidR="0020420E" w:rsidRPr="00B3329E">
        <w:rPr>
          <w:rFonts w:ascii="Tahoma" w:hAnsi="Tahoma" w:cs="Tahoma"/>
          <w:color w:val="000000" w:themeColor="text1"/>
        </w:rPr>
        <w:t xml:space="preserve">user </w:t>
      </w:r>
      <w:r w:rsidR="00FD1940" w:rsidRPr="00B3329E">
        <w:rPr>
          <w:rFonts w:ascii="Tahoma" w:hAnsi="Tahoma" w:cs="Tahoma"/>
          <w:color w:val="000000" w:themeColor="text1"/>
        </w:rPr>
        <w:t>demand</w:t>
      </w:r>
      <w:r w:rsidR="00C2477C" w:rsidRPr="00B3329E">
        <w:rPr>
          <w:rFonts w:ascii="Tahoma" w:hAnsi="Tahoma" w:cs="Tahoma"/>
          <w:color w:val="000000" w:themeColor="text1"/>
        </w:rPr>
        <w:t xml:space="preserve">.  These economic characteristics are believed to </w:t>
      </w:r>
      <w:r w:rsidR="00FD1940" w:rsidRPr="00B3329E">
        <w:rPr>
          <w:rFonts w:ascii="Tahoma" w:hAnsi="Tahoma" w:cs="Tahoma"/>
          <w:color w:val="000000" w:themeColor="text1"/>
        </w:rPr>
        <w:t xml:space="preserve">results in </w:t>
      </w:r>
      <w:r w:rsidR="00457517" w:rsidRPr="00B3329E">
        <w:rPr>
          <w:rFonts w:ascii="Tahoma" w:hAnsi="Tahoma" w:cs="Tahoma"/>
          <w:color w:val="000000" w:themeColor="text1"/>
        </w:rPr>
        <w:t xml:space="preserve">stable </w:t>
      </w:r>
      <w:r w:rsidR="00C2477C" w:rsidRPr="00B3329E">
        <w:rPr>
          <w:rFonts w:ascii="Tahoma" w:hAnsi="Tahoma" w:cs="Tahoma"/>
          <w:color w:val="000000" w:themeColor="text1"/>
        </w:rPr>
        <w:t xml:space="preserve">financial </w:t>
      </w:r>
      <w:r w:rsidR="00457517" w:rsidRPr="00B3329E">
        <w:rPr>
          <w:rFonts w:ascii="Tahoma" w:hAnsi="Tahoma" w:cs="Tahoma"/>
          <w:color w:val="000000" w:themeColor="text1"/>
        </w:rPr>
        <w:t>returns, inflation-protected cash</w:t>
      </w:r>
      <w:r w:rsidR="00D92D30" w:rsidRPr="00B3329E">
        <w:rPr>
          <w:rFonts w:ascii="Tahoma" w:hAnsi="Tahoma" w:cs="Tahoma"/>
          <w:color w:val="000000" w:themeColor="text1"/>
        </w:rPr>
        <w:t>-</w:t>
      </w:r>
      <w:r w:rsidR="00457517" w:rsidRPr="00B3329E">
        <w:rPr>
          <w:rFonts w:ascii="Tahoma" w:hAnsi="Tahoma" w:cs="Tahoma"/>
          <w:color w:val="000000" w:themeColor="text1"/>
        </w:rPr>
        <w:t>flows, low co</w:t>
      </w:r>
      <w:r w:rsidR="004469C8" w:rsidRPr="00B3329E">
        <w:rPr>
          <w:rFonts w:ascii="Tahoma" w:hAnsi="Tahoma" w:cs="Tahoma"/>
          <w:color w:val="000000" w:themeColor="text1"/>
        </w:rPr>
        <w:t>rrela</w:t>
      </w:r>
      <w:r w:rsidR="00642EC4" w:rsidRPr="00B3329E">
        <w:rPr>
          <w:rFonts w:ascii="Tahoma" w:hAnsi="Tahoma" w:cs="Tahoma"/>
          <w:color w:val="000000" w:themeColor="text1"/>
        </w:rPr>
        <w:t xml:space="preserve">tion to traditional assets and </w:t>
      </w:r>
      <w:r w:rsidR="004469C8" w:rsidRPr="00B3329E">
        <w:rPr>
          <w:rFonts w:ascii="Tahoma" w:hAnsi="Tahoma" w:cs="Tahoma"/>
          <w:color w:val="000000" w:themeColor="text1"/>
        </w:rPr>
        <w:t>macroeconomic factors</w:t>
      </w:r>
      <w:r w:rsidR="00642EC4" w:rsidRPr="00B3329E">
        <w:rPr>
          <w:rFonts w:ascii="Tahoma" w:hAnsi="Tahoma" w:cs="Tahoma"/>
          <w:color w:val="000000" w:themeColor="text1"/>
        </w:rPr>
        <w:t>,</w:t>
      </w:r>
      <w:r w:rsidR="004469C8" w:rsidRPr="00B3329E">
        <w:rPr>
          <w:rFonts w:ascii="Tahoma" w:hAnsi="Tahoma" w:cs="Tahoma"/>
          <w:color w:val="000000" w:themeColor="text1"/>
        </w:rPr>
        <w:t xml:space="preserve"> and </w:t>
      </w:r>
      <w:r w:rsidR="00457517" w:rsidRPr="00B3329E">
        <w:rPr>
          <w:rFonts w:ascii="Tahoma" w:hAnsi="Tahoma" w:cs="Tahoma"/>
          <w:color w:val="000000" w:themeColor="text1"/>
        </w:rPr>
        <w:t>high income generation</w:t>
      </w:r>
      <w:r w:rsidR="00FD1940" w:rsidRPr="00B3329E">
        <w:rPr>
          <w:rFonts w:ascii="Tahoma" w:hAnsi="Tahoma" w:cs="Tahoma"/>
          <w:color w:val="000000" w:themeColor="text1"/>
        </w:rPr>
        <w:t xml:space="preserve"> (Sawant, 2010)</w:t>
      </w:r>
      <w:r w:rsidR="00457517" w:rsidRPr="00B3329E">
        <w:rPr>
          <w:rFonts w:ascii="Tahoma" w:hAnsi="Tahoma" w:cs="Tahoma"/>
          <w:color w:val="000000" w:themeColor="text1"/>
        </w:rPr>
        <w:t xml:space="preserve">. </w:t>
      </w:r>
    </w:p>
    <w:p w:rsidR="00EA6483" w:rsidRPr="00B3329E" w:rsidRDefault="00EA6483" w:rsidP="00EA6483">
      <w:pPr>
        <w:spacing w:after="0"/>
        <w:rPr>
          <w:rFonts w:ascii="Tahoma" w:hAnsi="Tahoma" w:cs="Tahoma"/>
          <w:color w:val="000000" w:themeColor="text1"/>
        </w:rPr>
      </w:pPr>
    </w:p>
    <w:p w:rsidR="00D92D30" w:rsidRPr="00B3329E" w:rsidRDefault="00977C2E" w:rsidP="00EA6483">
      <w:pPr>
        <w:spacing w:after="0"/>
        <w:rPr>
          <w:rFonts w:ascii="Tahoma" w:hAnsi="Tahoma" w:cs="Tahoma"/>
          <w:color w:val="000000" w:themeColor="text1"/>
        </w:rPr>
      </w:pPr>
      <w:r w:rsidRPr="00B3329E">
        <w:rPr>
          <w:rFonts w:ascii="Tahoma" w:hAnsi="Tahoma" w:cs="Tahoma"/>
          <w:color w:val="000000" w:themeColor="text1"/>
        </w:rPr>
        <w:t>In the low growth, low interest rate environment that has persisted since the 2008 Global Financial Crisis (GFC) investing in infrastructure has proven to be increasingly appealing and t</w:t>
      </w:r>
      <w:r w:rsidR="00457517" w:rsidRPr="00B3329E">
        <w:rPr>
          <w:rFonts w:ascii="Tahoma" w:hAnsi="Tahoma" w:cs="Tahoma"/>
          <w:color w:val="000000" w:themeColor="text1"/>
        </w:rPr>
        <w:t>he result</w:t>
      </w:r>
      <w:r w:rsidR="00D92D30" w:rsidRPr="00B3329E">
        <w:rPr>
          <w:rFonts w:ascii="Tahoma" w:hAnsi="Tahoma" w:cs="Tahoma"/>
          <w:color w:val="000000" w:themeColor="text1"/>
        </w:rPr>
        <w:t xml:space="preserve"> has been huge asset growth of </w:t>
      </w:r>
      <w:r w:rsidR="00457517" w:rsidRPr="00B3329E">
        <w:rPr>
          <w:rFonts w:ascii="Tahoma" w:hAnsi="Tahoma" w:cs="Tahoma"/>
          <w:color w:val="000000" w:themeColor="text1"/>
        </w:rPr>
        <w:t xml:space="preserve">infrastructure investment strategies as investors have increased their </w:t>
      </w:r>
      <w:r w:rsidR="001E23CA" w:rsidRPr="00B3329E">
        <w:rPr>
          <w:rFonts w:ascii="Tahoma" w:hAnsi="Tahoma" w:cs="Tahoma"/>
          <w:color w:val="000000" w:themeColor="text1"/>
        </w:rPr>
        <w:t xml:space="preserve">portfolio allocations.  </w:t>
      </w:r>
      <w:r w:rsidR="00D92D30" w:rsidRPr="00B3329E">
        <w:rPr>
          <w:rFonts w:ascii="Tahoma" w:hAnsi="Tahoma" w:cs="Tahoma"/>
          <w:color w:val="000000" w:themeColor="text1"/>
        </w:rPr>
        <w:t xml:space="preserve">Consequently, there is no shortage of willing investors looking to </w:t>
      </w:r>
      <w:r w:rsidR="00F4132F" w:rsidRPr="00B3329E">
        <w:rPr>
          <w:rFonts w:ascii="Tahoma" w:hAnsi="Tahoma" w:cs="Tahoma"/>
          <w:color w:val="000000" w:themeColor="text1"/>
        </w:rPr>
        <w:t>financ</w:t>
      </w:r>
      <w:r w:rsidR="00457517" w:rsidRPr="00B3329E">
        <w:rPr>
          <w:rFonts w:ascii="Tahoma" w:hAnsi="Tahoma" w:cs="Tahoma"/>
          <w:color w:val="000000" w:themeColor="text1"/>
        </w:rPr>
        <w:t>e infrastructure projects</w:t>
      </w:r>
      <w:r w:rsidR="00FE10ED" w:rsidRPr="00B3329E">
        <w:rPr>
          <w:rFonts w:ascii="Tahoma" w:hAnsi="Tahoma" w:cs="Tahoma"/>
          <w:color w:val="000000" w:themeColor="text1"/>
        </w:rPr>
        <w:t xml:space="preserve">, </w:t>
      </w:r>
      <w:r w:rsidR="00F4132F" w:rsidRPr="00B3329E">
        <w:rPr>
          <w:rFonts w:ascii="Tahoma" w:hAnsi="Tahoma" w:cs="Tahoma"/>
          <w:color w:val="000000" w:themeColor="text1"/>
        </w:rPr>
        <w:t xml:space="preserve">as </w:t>
      </w:r>
      <w:r w:rsidR="00457517" w:rsidRPr="00B3329E">
        <w:rPr>
          <w:rFonts w:ascii="Tahoma" w:hAnsi="Tahoma" w:cs="Tahoma"/>
          <w:color w:val="000000" w:themeColor="text1"/>
        </w:rPr>
        <w:t>evidenced</w:t>
      </w:r>
      <w:r w:rsidR="00FE10ED" w:rsidRPr="00B3329E">
        <w:rPr>
          <w:rFonts w:ascii="Tahoma" w:hAnsi="Tahoma" w:cs="Tahoma"/>
          <w:color w:val="000000" w:themeColor="text1"/>
        </w:rPr>
        <w:t xml:space="preserve"> by USD </w:t>
      </w:r>
      <w:r w:rsidR="00457517" w:rsidRPr="00B3329E">
        <w:rPr>
          <w:rFonts w:ascii="Tahoma" w:hAnsi="Tahoma" w:cs="Tahoma"/>
          <w:color w:val="000000" w:themeColor="text1"/>
        </w:rPr>
        <w:t xml:space="preserve">the </w:t>
      </w:r>
      <w:r w:rsidR="00FE10ED" w:rsidRPr="00B3329E">
        <w:rPr>
          <w:rFonts w:ascii="Tahoma" w:hAnsi="Tahoma" w:cs="Tahoma"/>
          <w:color w:val="000000" w:themeColor="text1"/>
        </w:rPr>
        <w:t xml:space="preserve">158 </w:t>
      </w:r>
      <w:r w:rsidR="00F4132F" w:rsidRPr="00B3329E">
        <w:rPr>
          <w:rFonts w:ascii="Tahoma" w:hAnsi="Tahoma" w:cs="Tahoma"/>
          <w:color w:val="000000" w:themeColor="text1"/>
        </w:rPr>
        <w:t>b</w:t>
      </w:r>
      <w:r w:rsidR="00FE10ED" w:rsidRPr="00B3329E">
        <w:rPr>
          <w:rFonts w:ascii="Tahoma" w:hAnsi="Tahoma" w:cs="Tahoma"/>
          <w:color w:val="000000" w:themeColor="text1"/>
        </w:rPr>
        <w:t xml:space="preserve">illion </w:t>
      </w:r>
      <w:r w:rsidR="0020420E" w:rsidRPr="00B3329E">
        <w:rPr>
          <w:rFonts w:ascii="Tahoma" w:hAnsi="Tahoma" w:cs="Tahoma"/>
          <w:color w:val="000000" w:themeColor="text1"/>
        </w:rPr>
        <w:t>of cash in</w:t>
      </w:r>
      <w:r w:rsidR="008C1CA3" w:rsidRPr="00B3329E">
        <w:rPr>
          <w:rFonts w:ascii="Tahoma" w:hAnsi="Tahoma" w:cs="Tahoma"/>
          <w:color w:val="000000" w:themeColor="text1"/>
        </w:rPr>
        <w:t xml:space="preserve"> unlisted</w:t>
      </w:r>
      <w:r w:rsidR="0020420E" w:rsidRPr="00B3329E">
        <w:rPr>
          <w:rFonts w:ascii="Tahoma" w:hAnsi="Tahoma" w:cs="Tahoma"/>
          <w:color w:val="000000" w:themeColor="text1"/>
        </w:rPr>
        <w:t xml:space="preserve"> </w:t>
      </w:r>
      <w:r w:rsidR="00FE10ED" w:rsidRPr="00B3329E">
        <w:rPr>
          <w:rFonts w:ascii="Tahoma" w:hAnsi="Tahoma" w:cs="Tahoma"/>
          <w:color w:val="000000" w:themeColor="text1"/>
        </w:rPr>
        <w:t xml:space="preserve">infrastructure </w:t>
      </w:r>
      <w:r w:rsidR="00F4132F" w:rsidRPr="00B3329E">
        <w:rPr>
          <w:rFonts w:ascii="Tahoma" w:hAnsi="Tahoma" w:cs="Tahoma"/>
          <w:color w:val="000000" w:themeColor="text1"/>
        </w:rPr>
        <w:t>funds</w:t>
      </w:r>
      <w:r w:rsidR="0020420E" w:rsidRPr="00B3329E">
        <w:rPr>
          <w:rFonts w:ascii="Tahoma" w:hAnsi="Tahoma" w:cs="Tahoma"/>
          <w:color w:val="000000" w:themeColor="text1"/>
        </w:rPr>
        <w:t xml:space="preserve"> that is waiting to be invested</w:t>
      </w:r>
      <w:r w:rsidR="00F4132F" w:rsidRPr="00B3329E">
        <w:rPr>
          <w:rFonts w:ascii="Tahoma" w:hAnsi="Tahoma" w:cs="Tahoma"/>
          <w:color w:val="000000" w:themeColor="text1"/>
        </w:rPr>
        <w:t xml:space="preserve"> (</w:t>
      </w:r>
      <w:r w:rsidR="00FE10ED" w:rsidRPr="00B3329E">
        <w:rPr>
          <w:rFonts w:ascii="Tahoma" w:hAnsi="Tahoma" w:cs="Tahoma"/>
          <w:color w:val="000000" w:themeColor="text1"/>
        </w:rPr>
        <w:t>Preqin</w:t>
      </w:r>
      <w:r w:rsidR="00F4132F" w:rsidRPr="00B3329E">
        <w:rPr>
          <w:rFonts w:ascii="Tahoma" w:hAnsi="Tahoma" w:cs="Tahoma"/>
          <w:color w:val="000000" w:themeColor="text1"/>
        </w:rPr>
        <w:t>, 20</w:t>
      </w:r>
      <w:r w:rsidR="00FE10ED" w:rsidRPr="00B3329E">
        <w:rPr>
          <w:rFonts w:ascii="Tahoma" w:hAnsi="Tahoma" w:cs="Tahoma"/>
          <w:color w:val="000000" w:themeColor="text1"/>
        </w:rPr>
        <w:t>18</w:t>
      </w:r>
      <w:r w:rsidR="00457517" w:rsidRPr="00B3329E">
        <w:rPr>
          <w:rFonts w:ascii="Tahoma" w:hAnsi="Tahoma" w:cs="Tahoma"/>
          <w:color w:val="000000" w:themeColor="text1"/>
        </w:rPr>
        <w:t xml:space="preserve">).  The problem </w:t>
      </w:r>
      <w:r w:rsidR="00C2477C" w:rsidRPr="00B3329E">
        <w:rPr>
          <w:rFonts w:ascii="Tahoma" w:hAnsi="Tahoma" w:cs="Tahoma"/>
          <w:color w:val="000000" w:themeColor="text1"/>
        </w:rPr>
        <w:t>is</w:t>
      </w:r>
      <w:r w:rsidR="00457517" w:rsidRPr="00B3329E">
        <w:rPr>
          <w:rFonts w:ascii="Tahoma" w:hAnsi="Tahoma" w:cs="Tahoma"/>
          <w:color w:val="000000" w:themeColor="text1"/>
        </w:rPr>
        <w:t xml:space="preserve"> </w:t>
      </w:r>
      <w:r w:rsidR="00F4132F" w:rsidRPr="00B3329E">
        <w:rPr>
          <w:rFonts w:ascii="Tahoma" w:hAnsi="Tahoma" w:cs="Tahoma"/>
          <w:color w:val="000000" w:themeColor="text1"/>
        </w:rPr>
        <w:t xml:space="preserve">funding of the projects.  </w:t>
      </w:r>
      <w:r w:rsidR="00D92D30" w:rsidRPr="00B3329E">
        <w:rPr>
          <w:rFonts w:ascii="Tahoma" w:hAnsi="Tahoma" w:cs="Tahoma"/>
          <w:color w:val="000000" w:themeColor="text1"/>
        </w:rPr>
        <w:t>Government budgets cannot afford to pay</w:t>
      </w:r>
      <w:r w:rsidR="00C2477C" w:rsidRPr="00B3329E">
        <w:rPr>
          <w:rFonts w:ascii="Tahoma" w:hAnsi="Tahoma" w:cs="Tahoma"/>
          <w:color w:val="000000" w:themeColor="text1"/>
        </w:rPr>
        <w:t xml:space="preserve"> private sector</w:t>
      </w:r>
      <w:r w:rsidR="00D92D30" w:rsidRPr="00B3329E">
        <w:rPr>
          <w:rFonts w:ascii="Tahoma" w:hAnsi="Tahoma" w:cs="Tahoma"/>
          <w:color w:val="000000" w:themeColor="text1"/>
        </w:rPr>
        <w:t xml:space="preserve"> investors the</w:t>
      </w:r>
      <w:r w:rsidR="00C2477C" w:rsidRPr="00B3329E">
        <w:rPr>
          <w:rFonts w:ascii="Tahoma" w:hAnsi="Tahoma" w:cs="Tahoma"/>
          <w:color w:val="000000" w:themeColor="text1"/>
        </w:rPr>
        <w:t xml:space="preserve"> </w:t>
      </w:r>
      <w:r w:rsidR="00D92D30" w:rsidRPr="00B3329E">
        <w:rPr>
          <w:rFonts w:ascii="Tahoma" w:hAnsi="Tahoma" w:cs="Tahoma"/>
          <w:color w:val="000000" w:themeColor="text1"/>
        </w:rPr>
        <w:t xml:space="preserve">rate of </w:t>
      </w:r>
      <w:r w:rsidR="00F4132F" w:rsidRPr="00B3329E">
        <w:rPr>
          <w:rFonts w:ascii="Tahoma" w:hAnsi="Tahoma" w:cs="Tahoma"/>
          <w:color w:val="000000" w:themeColor="text1"/>
        </w:rPr>
        <w:t>return</w:t>
      </w:r>
      <w:r w:rsidR="00850585" w:rsidRPr="00B3329E">
        <w:rPr>
          <w:rFonts w:ascii="Tahoma" w:hAnsi="Tahoma" w:cs="Tahoma"/>
          <w:color w:val="000000" w:themeColor="text1"/>
        </w:rPr>
        <w:t xml:space="preserve"> that is necessary for all of the </w:t>
      </w:r>
      <w:r w:rsidR="00C2477C" w:rsidRPr="00B3329E">
        <w:rPr>
          <w:rFonts w:ascii="Tahoma" w:hAnsi="Tahoma" w:cs="Tahoma"/>
          <w:color w:val="000000" w:themeColor="text1"/>
        </w:rPr>
        <w:t>requi</w:t>
      </w:r>
      <w:r w:rsidR="00850585" w:rsidRPr="00B3329E">
        <w:rPr>
          <w:rFonts w:ascii="Tahoma" w:hAnsi="Tahoma" w:cs="Tahoma"/>
          <w:color w:val="000000" w:themeColor="text1"/>
        </w:rPr>
        <w:t>red projects to be built</w:t>
      </w:r>
      <w:r w:rsidR="00C2477C" w:rsidRPr="00B3329E">
        <w:rPr>
          <w:rFonts w:ascii="Tahoma" w:hAnsi="Tahoma" w:cs="Tahoma"/>
          <w:color w:val="000000" w:themeColor="text1"/>
        </w:rPr>
        <w:t xml:space="preserve"> </w:t>
      </w:r>
      <w:r w:rsidR="00C2477C" w:rsidRPr="00B3329E">
        <w:rPr>
          <w:rFonts w:ascii="Tahoma" w:hAnsi="Tahoma" w:cs="Tahoma"/>
          <w:color w:val="000000" w:themeColor="text1"/>
        </w:rPr>
        <w:lastRenderedPageBreak/>
        <w:t>(OECD, 2017)</w:t>
      </w:r>
      <w:r w:rsidR="00F4132F" w:rsidRPr="00B3329E">
        <w:rPr>
          <w:rFonts w:ascii="Tahoma" w:hAnsi="Tahoma" w:cs="Tahoma"/>
          <w:color w:val="000000" w:themeColor="text1"/>
        </w:rPr>
        <w:t xml:space="preserve">. </w:t>
      </w:r>
      <w:r w:rsidR="00187E75" w:rsidRPr="00B3329E">
        <w:rPr>
          <w:rFonts w:ascii="Tahoma" w:hAnsi="Tahoma" w:cs="Tahoma"/>
          <w:color w:val="000000" w:themeColor="text1"/>
        </w:rPr>
        <w:t xml:space="preserve">In the absence of infrastructure budget increases, </w:t>
      </w:r>
      <w:r w:rsidR="00AB55D5" w:rsidRPr="00B3329E">
        <w:rPr>
          <w:rFonts w:ascii="Tahoma" w:hAnsi="Tahoma" w:cs="Tahoma"/>
          <w:color w:val="000000" w:themeColor="text1"/>
        </w:rPr>
        <w:t>a</w:t>
      </w:r>
      <w:r w:rsidR="00D92D30" w:rsidRPr="00B3329E">
        <w:rPr>
          <w:rFonts w:ascii="Tahoma" w:hAnsi="Tahoma" w:cs="Tahoma"/>
          <w:color w:val="000000" w:themeColor="text1"/>
        </w:rPr>
        <w:t xml:space="preserve"> solution to</w:t>
      </w:r>
      <w:r w:rsidR="00F4132F" w:rsidRPr="00B3329E">
        <w:rPr>
          <w:rFonts w:ascii="Tahoma" w:hAnsi="Tahoma" w:cs="Tahoma"/>
          <w:color w:val="000000" w:themeColor="text1"/>
        </w:rPr>
        <w:t xml:space="preserve"> this problem is </w:t>
      </w:r>
      <w:r w:rsidR="00AB55D5" w:rsidRPr="00B3329E">
        <w:rPr>
          <w:rFonts w:ascii="Tahoma" w:hAnsi="Tahoma" w:cs="Tahoma"/>
          <w:color w:val="000000" w:themeColor="text1"/>
        </w:rPr>
        <w:t xml:space="preserve">to </w:t>
      </w:r>
      <w:r w:rsidR="00D92D30" w:rsidRPr="00B3329E">
        <w:rPr>
          <w:rFonts w:ascii="Tahoma" w:hAnsi="Tahoma" w:cs="Tahoma"/>
          <w:color w:val="000000" w:themeColor="text1"/>
        </w:rPr>
        <w:t>reduc</w:t>
      </w:r>
      <w:r w:rsidR="00187E75" w:rsidRPr="00B3329E">
        <w:rPr>
          <w:rFonts w:ascii="Tahoma" w:hAnsi="Tahoma" w:cs="Tahoma"/>
          <w:color w:val="000000" w:themeColor="text1"/>
        </w:rPr>
        <w:t>e</w:t>
      </w:r>
      <w:r w:rsidR="00F4132F" w:rsidRPr="00B3329E">
        <w:rPr>
          <w:rFonts w:ascii="Tahoma" w:hAnsi="Tahoma" w:cs="Tahoma"/>
          <w:color w:val="000000" w:themeColor="text1"/>
        </w:rPr>
        <w:t xml:space="preserve"> the cost </w:t>
      </w:r>
      <w:r w:rsidR="00187E75" w:rsidRPr="00B3329E">
        <w:rPr>
          <w:rFonts w:ascii="Tahoma" w:hAnsi="Tahoma" w:cs="Tahoma"/>
          <w:color w:val="000000" w:themeColor="text1"/>
        </w:rPr>
        <w:t>of f</w:t>
      </w:r>
      <w:r w:rsidR="00AB55D5" w:rsidRPr="00B3329E">
        <w:rPr>
          <w:rFonts w:ascii="Tahoma" w:hAnsi="Tahoma" w:cs="Tahoma"/>
          <w:color w:val="000000" w:themeColor="text1"/>
        </w:rPr>
        <w:t xml:space="preserve">unding.  In part this may be </w:t>
      </w:r>
      <w:r w:rsidR="00D92D30" w:rsidRPr="00B3329E">
        <w:rPr>
          <w:rFonts w:ascii="Tahoma" w:hAnsi="Tahoma" w:cs="Tahoma"/>
          <w:color w:val="000000" w:themeColor="text1"/>
        </w:rPr>
        <w:t xml:space="preserve">achieved by increasing </w:t>
      </w:r>
      <w:r w:rsidR="00187E75" w:rsidRPr="00B3329E">
        <w:rPr>
          <w:rFonts w:ascii="Tahoma" w:hAnsi="Tahoma" w:cs="Tahoma"/>
          <w:color w:val="000000" w:themeColor="text1"/>
        </w:rPr>
        <w:t xml:space="preserve">competition amongst </w:t>
      </w:r>
      <w:r w:rsidR="00C2477C" w:rsidRPr="00B3329E">
        <w:rPr>
          <w:rFonts w:ascii="Tahoma" w:hAnsi="Tahoma" w:cs="Tahoma"/>
          <w:color w:val="000000" w:themeColor="text1"/>
        </w:rPr>
        <w:t xml:space="preserve">potential </w:t>
      </w:r>
      <w:r w:rsidR="00187E75" w:rsidRPr="00B3329E">
        <w:rPr>
          <w:rFonts w:ascii="Tahoma" w:hAnsi="Tahoma" w:cs="Tahoma"/>
          <w:color w:val="000000" w:themeColor="text1"/>
        </w:rPr>
        <w:t xml:space="preserve">investors by making </w:t>
      </w:r>
      <w:r w:rsidR="00D92D30" w:rsidRPr="00B3329E">
        <w:rPr>
          <w:rFonts w:ascii="Tahoma" w:hAnsi="Tahoma" w:cs="Tahoma"/>
          <w:color w:val="000000" w:themeColor="text1"/>
        </w:rPr>
        <w:t>infrastructure available</w:t>
      </w:r>
      <w:r w:rsidR="001E23CA" w:rsidRPr="00B3329E">
        <w:rPr>
          <w:rFonts w:ascii="Tahoma" w:hAnsi="Tahoma" w:cs="Tahoma"/>
          <w:color w:val="000000" w:themeColor="text1"/>
        </w:rPr>
        <w:t xml:space="preserve"> to a broader set of </w:t>
      </w:r>
      <w:r w:rsidR="0015286C" w:rsidRPr="00B3329E">
        <w:rPr>
          <w:rFonts w:ascii="Tahoma" w:hAnsi="Tahoma" w:cs="Tahoma"/>
          <w:color w:val="000000" w:themeColor="text1"/>
        </w:rPr>
        <w:t>capital providers.</w:t>
      </w:r>
    </w:p>
    <w:p w:rsidR="00EA6483" w:rsidRPr="00B3329E" w:rsidRDefault="00EA6483" w:rsidP="00EA6483">
      <w:pPr>
        <w:spacing w:after="0"/>
        <w:rPr>
          <w:rFonts w:ascii="Tahoma" w:hAnsi="Tahoma" w:cs="Tahoma"/>
          <w:color w:val="000000" w:themeColor="text1"/>
        </w:rPr>
      </w:pPr>
    </w:p>
    <w:p w:rsidR="00DC5FCD" w:rsidRPr="00B3329E" w:rsidRDefault="00D92D30" w:rsidP="00EA6483">
      <w:pPr>
        <w:spacing w:after="0"/>
        <w:rPr>
          <w:rFonts w:ascii="Tahoma" w:hAnsi="Tahoma" w:cs="Tahoma"/>
          <w:color w:val="000000" w:themeColor="text1"/>
        </w:rPr>
      </w:pPr>
      <w:r w:rsidRPr="00B3329E">
        <w:rPr>
          <w:rFonts w:ascii="Tahoma" w:hAnsi="Tahoma" w:cs="Tahoma"/>
          <w:color w:val="000000" w:themeColor="text1"/>
        </w:rPr>
        <w:t xml:space="preserve">Currently, </w:t>
      </w:r>
      <w:r w:rsidR="00187E75" w:rsidRPr="00B3329E">
        <w:rPr>
          <w:rFonts w:ascii="Tahoma" w:hAnsi="Tahoma" w:cs="Tahoma"/>
          <w:color w:val="000000" w:themeColor="text1"/>
        </w:rPr>
        <w:t xml:space="preserve">the majority of </w:t>
      </w:r>
      <w:r w:rsidR="00C2477C" w:rsidRPr="00B3329E">
        <w:rPr>
          <w:rFonts w:ascii="Tahoma" w:hAnsi="Tahoma" w:cs="Tahoma"/>
          <w:color w:val="000000" w:themeColor="text1"/>
        </w:rPr>
        <w:t xml:space="preserve">private sector </w:t>
      </w:r>
      <w:r w:rsidR="00187E75" w:rsidRPr="00B3329E">
        <w:rPr>
          <w:rFonts w:ascii="Tahoma" w:hAnsi="Tahoma" w:cs="Tahoma"/>
          <w:color w:val="000000" w:themeColor="text1"/>
        </w:rPr>
        <w:t xml:space="preserve">infrastructure investments are financed through private, unlisted funds which are the preserve of </w:t>
      </w:r>
      <w:r w:rsidRPr="00B3329E">
        <w:rPr>
          <w:rFonts w:ascii="Tahoma" w:hAnsi="Tahoma" w:cs="Tahoma"/>
          <w:color w:val="000000" w:themeColor="text1"/>
        </w:rPr>
        <w:t>i</w:t>
      </w:r>
      <w:r w:rsidR="00187E75" w:rsidRPr="00B3329E">
        <w:rPr>
          <w:rFonts w:ascii="Tahoma" w:hAnsi="Tahoma" w:cs="Tahoma"/>
          <w:color w:val="000000" w:themeColor="text1"/>
        </w:rPr>
        <w:t>nstitutional investors, such as</w:t>
      </w:r>
      <w:r w:rsidR="00CC4985" w:rsidRPr="00B3329E">
        <w:rPr>
          <w:rFonts w:ascii="Tahoma" w:hAnsi="Tahoma" w:cs="Tahoma"/>
          <w:color w:val="000000" w:themeColor="text1"/>
        </w:rPr>
        <w:t xml:space="preserve"> </w:t>
      </w:r>
      <w:r w:rsidR="00187E75" w:rsidRPr="00B3329E">
        <w:rPr>
          <w:rFonts w:ascii="Tahoma" w:hAnsi="Tahoma" w:cs="Tahoma"/>
          <w:color w:val="000000" w:themeColor="text1"/>
        </w:rPr>
        <w:t>defined benefit</w:t>
      </w:r>
      <w:r w:rsidR="00C2477C" w:rsidRPr="00B3329E">
        <w:rPr>
          <w:rFonts w:ascii="Tahoma" w:hAnsi="Tahoma" w:cs="Tahoma"/>
          <w:color w:val="000000" w:themeColor="text1"/>
        </w:rPr>
        <w:t xml:space="preserve"> (DB) </w:t>
      </w:r>
      <w:r w:rsidR="00CC4985" w:rsidRPr="00B3329E">
        <w:rPr>
          <w:rFonts w:ascii="Tahoma" w:hAnsi="Tahoma" w:cs="Tahoma"/>
          <w:color w:val="000000" w:themeColor="text1"/>
        </w:rPr>
        <w:t>pension schemes</w:t>
      </w:r>
      <w:r w:rsidR="00187E75" w:rsidRPr="00B3329E">
        <w:rPr>
          <w:rFonts w:ascii="Tahoma" w:hAnsi="Tahoma" w:cs="Tahoma"/>
          <w:color w:val="000000" w:themeColor="text1"/>
        </w:rPr>
        <w:t xml:space="preserve">.  </w:t>
      </w:r>
      <w:r w:rsidR="00C47231" w:rsidRPr="00B3329E">
        <w:rPr>
          <w:rFonts w:ascii="Tahoma" w:hAnsi="Tahoma" w:cs="Tahoma"/>
          <w:color w:val="000000" w:themeColor="text1"/>
        </w:rPr>
        <w:t xml:space="preserve"> </w:t>
      </w:r>
      <w:r w:rsidR="0004343D">
        <w:rPr>
          <w:rFonts w:ascii="Tahoma" w:hAnsi="Tahoma" w:cs="Tahoma"/>
          <w:color w:val="000000" w:themeColor="text1"/>
        </w:rPr>
        <w:t>Listed infrastructure has proven less popular and criticised for</w:t>
      </w:r>
      <w:r w:rsidR="00F8109D" w:rsidRPr="00B3329E">
        <w:rPr>
          <w:rFonts w:ascii="Tahoma" w:hAnsi="Tahoma" w:cs="Tahoma"/>
          <w:color w:val="000000" w:themeColor="text1"/>
        </w:rPr>
        <w:t xml:space="preserve">having lower returns than unlisted infrastructure </w:t>
      </w:r>
      <w:r w:rsidR="0004343D">
        <w:rPr>
          <w:rFonts w:ascii="Tahoma" w:hAnsi="Tahoma" w:cs="Tahoma"/>
          <w:color w:val="000000" w:themeColor="text1"/>
        </w:rPr>
        <w:t xml:space="preserve">(Rothballer and Kaserer, </w:t>
      </w:r>
      <w:r w:rsidR="0004343D" w:rsidRPr="00B3329E">
        <w:rPr>
          <w:rFonts w:ascii="Tahoma" w:hAnsi="Tahoma" w:cs="Tahoma"/>
          <w:color w:val="000000" w:themeColor="text1"/>
        </w:rPr>
        <w:t>2012)</w:t>
      </w:r>
      <w:r w:rsidR="0004343D">
        <w:rPr>
          <w:rFonts w:ascii="Tahoma" w:hAnsi="Tahoma" w:cs="Tahoma"/>
          <w:color w:val="000000" w:themeColor="text1"/>
        </w:rPr>
        <w:t xml:space="preserve">. However, </w:t>
      </w:r>
      <w:r w:rsidR="00F8109D" w:rsidRPr="00B3329E">
        <w:rPr>
          <w:rFonts w:ascii="Tahoma" w:hAnsi="Tahoma" w:cs="Tahoma"/>
          <w:color w:val="000000" w:themeColor="text1"/>
        </w:rPr>
        <w:t xml:space="preserve">when viewed from the taxpayers perspective this makes listed </w:t>
      </w:r>
      <w:r w:rsidR="0015286C" w:rsidRPr="00B3329E">
        <w:rPr>
          <w:rFonts w:ascii="Tahoma" w:hAnsi="Tahoma" w:cs="Tahoma"/>
          <w:color w:val="000000" w:themeColor="text1"/>
        </w:rPr>
        <w:t>infrastructure a</w:t>
      </w:r>
      <w:r w:rsidR="00F8109D" w:rsidRPr="00B3329E">
        <w:rPr>
          <w:rFonts w:ascii="Tahoma" w:hAnsi="Tahoma" w:cs="Tahoma"/>
          <w:color w:val="000000" w:themeColor="text1"/>
        </w:rPr>
        <w:t xml:space="preserve"> relatively attractive</w:t>
      </w:r>
      <w:r w:rsidR="0015286C" w:rsidRPr="00B3329E">
        <w:rPr>
          <w:rFonts w:ascii="Tahoma" w:hAnsi="Tahoma" w:cs="Tahoma"/>
          <w:color w:val="000000" w:themeColor="text1"/>
        </w:rPr>
        <w:t xml:space="preserve"> financing choice</w:t>
      </w:r>
      <w:r w:rsidR="00F8109D" w:rsidRPr="00B3329E">
        <w:rPr>
          <w:rFonts w:ascii="Tahoma" w:hAnsi="Tahoma" w:cs="Tahoma"/>
          <w:color w:val="000000" w:themeColor="text1"/>
        </w:rPr>
        <w:t>. Increasing the portion of infrastructure that is funded through listed companies could help improve value for money and the funding of a greater number of projects.</w:t>
      </w:r>
      <w:r w:rsidR="00DC5FCD" w:rsidRPr="00B3329E">
        <w:rPr>
          <w:rFonts w:ascii="Tahoma" w:hAnsi="Tahoma" w:cs="Tahoma"/>
          <w:color w:val="000000" w:themeColor="text1"/>
        </w:rPr>
        <w:t xml:space="preserve">  </w:t>
      </w:r>
    </w:p>
    <w:p w:rsidR="00DC5FCD" w:rsidRPr="00B3329E" w:rsidRDefault="00DC5FCD" w:rsidP="00EA6483">
      <w:pPr>
        <w:spacing w:after="0"/>
        <w:rPr>
          <w:rFonts w:ascii="Tahoma" w:hAnsi="Tahoma" w:cs="Tahoma"/>
          <w:color w:val="000000" w:themeColor="text1"/>
        </w:rPr>
      </w:pPr>
    </w:p>
    <w:p w:rsidR="004977A4" w:rsidRPr="00B3329E" w:rsidRDefault="00FD1940" w:rsidP="00EA6483">
      <w:pPr>
        <w:spacing w:after="0"/>
        <w:rPr>
          <w:rFonts w:ascii="Tahoma" w:hAnsi="Tahoma" w:cs="Tahoma"/>
          <w:color w:val="000000" w:themeColor="text1"/>
        </w:rPr>
      </w:pPr>
      <w:r w:rsidRPr="00B3329E">
        <w:rPr>
          <w:rFonts w:ascii="Tahoma" w:hAnsi="Tahoma" w:cs="Tahoma"/>
          <w:color w:val="000000" w:themeColor="text1"/>
        </w:rPr>
        <w:t>EDHEC’s (2016) survey of 184 investors representing USD 8 trillion of assets under management found that diversification was the most important factor for investing in infrastructure</w:t>
      </w:r>
      <w:r w:rsidR="0015286C" w:rsidRPr="00B3329E">
        <w:rPr>
          <w:rFonts w:ascii="Tahoma" w:hAnsi="Tahoma" w:cs="Tahoma"/>
          <w:color w:val="000000" w:themeColor="text1"/>
        </w:rPr>
        <w:t xml:space="preserve"> </w:t>
      </w:r>
      <w:r w:rsidR="00DC5FCD" w:rsidRPr="00B3329E">
        <w:rPr>
          <w:rFonts w:ascii="Tahoma" w:hAnsi="Tahoma" w:cs="Tahoma"/>
          <w:color w:val="000000" w:themeColor="text1"/>
        </w:rPr>
        <w:t>so not maximising returns isn’t an insurmountable obstacle for attracting investment.  However, EDHEC’s (2016) survey also found an unwillingness to</w:t>
      </w:r>
      <w:r w:rsidR="004977A4" w:rsidRPr="00B3329E">
        <w:rPr>
          <w:rFonts w:ascii="Tahoma" w:hAnsi="Tahoma" w:cs="Tahoma"/>
          <w:color w:val="000000" w:themeColor="text1"/>
        </w:rPr>
        <w:t xml:space="preserve"> invest in infrastructure if it cannot be defined as an asset class</w:t>
      </w:r>
      <w:r w:rsidR="0015286C" w:rsidRPr="00B3329E">
        <w:rPr>
          <w:rFonts w:ascii="Tahoma" w:hAnsi="Tahoma" w:cs="Tahoma"/>
          <w:color w:val="000000" w:themeColor="text1"/>
        </w:rPr>
        <w:t>.  These views have</w:t>
      </w:r>
      <w:r w:rsidR="004977A4" w:rsidRPr="00B3329E">
        <w:rPr>
          <w:rFonts w:ascii="Tahoma" w:hAnsi="Tahoma" w:cs="Tahoma"/>
          <w:color w:val="000000" w:themeColor="text1"/>
        </w:rPr>
        <w:t xml:space="preserve"> prompted</w:t>
      </w:r>
      <w:r w:rsidR="0020420E" w:rsidRPr="00B3329E">
        <w:rPr>
          <w:rFonts w:ascii="Tahoma" w:hAnsi="Tahoma" w:cs="Tahoma"/>
          <w:color w:val="000000" w:themeColor="text1"/>
        </w:rPr>
        <w:t xml:space="preserve"> numerous studies </w:t>
      </w:r>
      <w:r w:rsidR="00DC5FCD" w:rsidRPr="00B3329E">
        <w:rPr>
          <w:rFonts w:ascii="Tahoma" w:hAnsi="Tahoma" w:cs="Tahoma"/>
          <w:color w:val="000000" w:themeColor="text1"/>
        </w:rPr>
        <w:t xml:space="preserve">into whether </w:t>
      </w:r>
      <w:r w:rsidR="0020420E" w:rsidRPr="00B3329E">
        <w:rPr>
          <w:rFonts w:ascii="Tahoma" w:hAnsi="Tahoma" w:cs="Tahoma"/>
          <w:color w:val="000000" w:themeColor="text1"/>
        </w:rPr>
        <w:t>listed infrastructure can be considered an asset class and</w:t>
      </w:r>
      <w:r w:rsidR="00DC5FCD" w:rsidRPr="00B3329E">
        <w:rPr>
          <w:rFonts w:ascii="Tahoma" w:hAnsi="Tahoma" w:cs="Tahoma"/>
          <w:color w:val="000000" w:themeColor="text1"/>
        </w:rPr>
        <w:t>,</w:t>
      </w:r>
      <w:r w:rsidR="0020420E" w:rsidRPr="00B3329E">
        <w:rPr>
          <w:rFonts w:ascii="Tahoma" w:hAnsi="Tahoma" w:cs="Tahoma"/>
          <w:color w:val="000000" w:themeColor="text1"/>
        </w:rPr>
        <w:t xml:space="preserve"> if so, what sort of returns investors should expect.  There isn’t a formal set of definitions of what</w:t>
      </w:r>
      <w:r w:rsidR="00954976" w:rsidRPr="00B3329E">
        <w:rPr>
          <w:rFonts w:ascii="Tahoma" w:hAnsi="Tahoma" w:cs="Tahoma"/>
          <w:color w:val="000000" w:themeColor="text1"/>
        </w:rPr>
        <w:t xml:space="preserve"> constitutes an asset class but Amenc et al</w:t>
      </w:r>
      <w:r w:rsidR="0020420E" w:rsidRPr="00B3329E">
        <w:rPr>
          <w:rFonts w:ascii="Tahoma" w:hAnsi="Tahoma" w:cs="Tahoma"/>
          <w:color w:val="000000" w:themeColor="text1"/>
        </w:rPr>
        <w:t xml:space="preserve"> (2</w:t>
      </w:r>
      <w:r w:rsidR="00954976" w:rsidRPr="00B3329E">
        <w:rPr>
          <w:rFonts w:ascii="Tahoma" w:hAnsi="Tahoma" w:cs="Tahoma"/>
          <w:color w:val="000000" w:themeColor="text1"/>
        </w:rPr>
        <w:t>01</w:t>
      </w:r>
      <w:r w:rsidR="0020138D">
        <w:rPr>
          <w:rFonts w:ascii="Tahoma" w:hAnsi="Tahoma" w:cs="Tahoma"/>
          <w:color w:val="000000" w:themeColor="text1"/>
        </w:rPr>
        <w:t>2</w:t>
      </w:r>
      <w:r w:rsidR="0020420E" w:rsidRPr="00B3329E">
        <w:rPr>
          <w:rFonts w:ascii="Tahoma" w:hAnsi="Tahoma" w:cs="Tahoma"/>
          <w:color w:val="000000" w:themeColor="text1"/>
        </w:rPr>
        <w:t xml:space="preserve">) and </w:t>
      </w:r>
      <w:r w:rsidR="004977A4" w:rsidRPr="00B3329E">
        <w:rPr>
          <w:rFonts w:ascii="Tahoma" w:hAnsi="Tahoma" w:cs="Tahoma"/>
          <w:color w:val="000000" w:themeColor="text1"/>
        </w:rPr>
        <w:t>Inderst</w:t>
      </w:r>
      <w:r w:rsidR="0020420E" w:rsidRPr="00B3329E">
        <w:rPr>
          <w:rFonts w:ascii="Tahoma" w:hAnsi="Tahoma" w:cs="Tahoma"/>
          <w:color w:val="000000" w:themeColor="text1"/>
        </w:rPr>
        <w:t xml:space="preserve"> (2</w:t>
      </w:r>
      <w:r w:rsidR="004977A4" w:rsidRPr="00B3329E">
        <w:rPr>
          <w:rFonts w:ascii="Tahoma" w:hAnsi="Tahoma" w:cs="Tahoma"/>
          <w:color w:val="000000" w:themeColor="text1"/>
        </w:rPr>
        <w:t>009</w:t>
      </w:r>
      <w:r w:rsidR="0020420E" w:rsidRPr="00B3329E">
        <w:rPr>
          <w:rFonts w:ascii="Tahoma" w:hAnsi="Tahoma" w:cs="Tahoma"/>
          <w:color w:val="000000" w:themeColor="text1"/>
        </w:rPr>
        <w:t>) provid</w:t>
      </w:r>
      <w:r w:rsidR="00954976" w:rsidRPr="00B3329E">
        <w:rPr>
          <w:rFonts w:ascii="Tahoma" w:hAnsi="Tahoma" w:cs="Tahoma"/>
          <w:color w:val="000000" w:themeColor="text1"/>
        </w:rPr>
        <w:t>e some useful rules of thumb.  Amenc et al</w:t>
      </w:r>
      <w:r w:rsidR="0020420E" w:rsidRPr="00B3329E">
        <w:rPr>
          <w:rFonts w:ascii="Tahoma" w:hAnsi="Tahoma" w:cs="Tahoma"/>
          <w:color w:val="000000" w:themeColor="text1"/>
        </w:rPr>
        <w:t xml:space="preserve"> (</w:t>
      </w:r>
      <w:r w:rsidR="00954976" w:rsidRPr="00B3329E">
        <w:rPr>
          <w:rFonts w:ascii="Tahoma" w:hAnsi="Tahoma" w:cs="Tahoma"/>
          <w:color w:val="000000" w:themeColor="text1"/>
        </w:rPr>
        <w:t>201</w:t>
      </w:r>
      <w:r w:rsidR="0020138D">
        <w:rPr>
          <w:rFonts w:ascii="Tahoma" w:hAnsi="Tahoma" w:cs="Tahoma"/>
          <w:color w:val="000000" w:themeColor="text1"/>
        </w:rPr>
        <w:t>2</w:t>
      </w:r>
      <w:r w:rsidR="0020420E" w:rsidRPr="00B3329E">
        <w:rPr>
          <w:rFonts w:ascii="Tahoma" w:hAnsi="Tahoma" w:cs="Tahoma"/>
          <w:color w:val="000000" w:themeColor="text1"/>
        </w:rPr>
        <w:t xml:space="preserve">) states that for a group of assets to be considered an asset class they should have greater </w:t>
      </w:r>
      <w:r w:rsidR="00954976" w:rsidRPr="00B3329E">
        <w:rPr>
          <w:rFonts w:ascii="Tahoma" w:hAnsi="Tahoma" w:cs="Tahoma"/>
          <w:color w:val="000000" w:themeColor="text1"/>
        </w:rPr>
        <w:t>covariance within the group of asset</w:t>
      </w:r>
      <w:r w:rsidR="004977A4" w:rsidRPr="00B3329E">
        <w:rPr>
          <w:rFonts w:ascii="Tahoma" w:hAnsi="Tahoma" w:cs="Tahoma"/>
          <w:color w:val="000000" w:themeColor="text1"/>
        </w:rPr>
        <w:t>s than with other asset classes.  Inderst (2009) believes assets should to subject to the same laws and regulations and have similar risk-return charact</w:t>
      </w:r>
      <w:r w:rsidR="00F82B3D" w:rsidRPr="00B3329E">
        <w:rPr>
          <w:rFonts w:ascii="Tahoma" w:hAnsi="Tahoma" w:cs="Tahoma"/>
          <w:color w:val="000000" w:themeColor="text1"/>
        </w:rPr>
        <w:t xml:space="preserve">eristics.  </w:t>
      </w:r>
      <w:r w:rsidR="0073019D" w:rsidRPr="00B3329E">
        <w:rPr>
          <w:rFonts w:ascii="Tahoma" w:hAnsi="Tahoma" w:cs="Tahoma"/>
          <w:color w:val="000000" w:themeColor="text1"/>
        </w:rPr>
        <w:t>The problem of asset class definition is worsened by “Infrastructure” being</w:t>
      </w:r>
      <w:r w:rsidR="004977A4" w:rsidRPr="00B3329E">
        <w:rPr>
          <w:rFonts w:ascii="Tahoma" w:hAnsi="Tahoma" w:cs="Tahoma"/>
          <w:color w:val="000000" w:themeColor="text1"/>
        </w:rPr>
        <w:t xml:space="preserve"> an umbrella term applied to a diverse group of projects, companies and sectors </w:t>
      </w:r>
      <w:r w:rsidR="0073019D" w:rsidRPr="00B3329E">
        <w:rPr>
          <w:rFonts w:ascii="Tahoma" w:hAnsi="Tahoma" w:cs="Tahoma"/>
          <w:color w:val="000000" w:themeColor="text1"/>
        </w:rPr>
        <w:t xml:space="preserve">that are </w:t>
      </w:r>
      <w:r w:rsidR="004977A4" w:rsidRPr="00B3329E">
        <w:rPr>
          <w:rFonts w:ascii="Tahoma" w:hAnsi="Tahoma" w:cs="Tahoma"/>
          <w:color w:val="000000" w:themeColor="text1"/>
        </w:rPr>
        <w:t>accessed through a vari</w:t>
      </w:r>
      <w:r w:rsidR="0073019D" w:rsidRPr="00B3329E">
        <w:rPr>
          <w:rFonts w:ascii="Tahoma" w:hAnsi="Tahoma" w:cs="Tahoma"/>
          <w:color w:val="000000" w:themeColor="text1"/>
        </w:rPr>
        <w:t xml:space="preserve">ety of </w:t>
      </w:r>
      <w:r w:rsidR="004977A4" w:rsidRPr="00B3329E">
        <w:rPr>
          <w:rFonts w:ascii="Tahoma" w:hAnsi="Tahoma" w:cs="Tahoma"/>
          <w:color w:val="000000" w:themeColor="text1"/>
        </w:rPr>
        <w:t>investment veh</w:t>
      </w:r>
      <w:r w:rsidR="0073019D" w:rsidRPr="00B3329E">
        <w:rPr>
          <w:rFonts w:ascii="Tahoma" w:hAnsi="Tahoma" w:cs="Tahoma"/>
          <w:color w:val="000000" w:themeColor="text1"/>
        </w:rPr>
        <w:t>icles and financing structures.</w:t>
      </w:r>
    </w:p>
    <w:p w:rsidR="00EA6483" w:rsidRPr="00B3329E" w:rsidRDefault="00EA6483" w:rsidP="00EA6483">
      <w:pPr>
        <w:spacing w:after="0"/>
        <w:rPr>
          <w:rFonts w:ascii="Tahoma" w:hAnsi="Tahoma" w:cs="Tahoma"/>
          <w:color w:val="000000" w:themeColor="text1"/>
        </w:rPr>
      </w:pPr>
    </w:p>
    <w:p w:rsidR="0098037B" w:rsidRPr="00B3329E" w:rsidRDefault="00AC4FD8" w:rsidP="00EA6483">
      <w:pPr>
        <w:spacing w:after="0"/>
        <w:rPr>
          <w:rFonts w:ascii="Tahoma" w:hAnsi="Tahoma" w:cs="Tahoma"/>
          <w:color w:val="000000" w:themeColor="text1"/>
        </w:rPr>
      </w:pPr>
      <w:r w:rsidRPr="00B3329E">
        <w:rPr>
          <w:rFonts w:ascii="Tahoma" w:hAnsi="Tahoma" w:cs="Tahoma"/>
          <w:color w:val="000000" w:themeColor="text1"/>
        </w:rPr>
        <w:t>The</w:t>
      </w:r>
      <w:r w:rsidR="00736A3F" w:rsidRPr="00B3329E">
        <w:rPr>
          <w:rFonts w:ascii="Tahoma" w:hAnsi="Tahoma" w:cs="Tahoma"/>
          <w:color w:val="000000" w:themeColor="text1"/>
        </w:rPr>
        <w:t xml:space="preserve"> </w:t>
      </w:r>
      <w:r w:rsidRPr="00B3329E">
        <w:rPr>
          <w:rFonts w:ascii="Tahoma" w:hAnsi="Tahoma" w:cs="Tahoma"/>
          <w:color w:val="000000" w:themeColor="text1"/>
        </w:rPr>
        <w:t xml:space="preserve">consensus amongst academic </w:t>
      </w:r>
      <w:r w:rsidR="000923B8" w:rsidRPr="00B3329E">
        <w:rPr>
          <w:rFonts w:ascii="Tahoma" w:hAnsi="Tahoma" w:cs="Tahoma"/>
          <w:color w:val="000000" w:themeColor="text1"/>
        </w:rPr>
        <w:t>research</w:t>
      </w:r>
      <w:r w:rsidR="003B6C62" w:rsidRPr="00B3329E">
        <w:rPr>
          <w:rFonts w:ascii="Tahoma" w:hAnsi="Tahoma" w:cs="Tahoma"/>
          <w:color w:val="000000" w:themeColor="text1"/>
        </w:rPr>
        <w:t>ers is</w:t>
      </w:r>
      <w:r w:rsidR="000923B8" w:rsidRPr="00B3329E">
        <w:rPr>
          <w:rFonts w:ascii="Tahoma" w:hAnsi="Tahoma" w:cs="Tahoma"/>
          <w:color w:val="000000" w:themeColor="text1"/>
        </w:rPr>
        <w:t xml:space="preserve"> that unlisted </w:t>
      </w:r>
      <w:r w:rsidRPr="00B3329E">
        <w:rPr>
          <w:rFonts w:ascii="Tahoma" w:hAnsi="Tahoma" w:cs="Tahoma"/>
          <w:color w:val="000000" w:themeColor="text1"/>
        </w:rPr>
        <w:t xml:space="preserve">infrastructure investments </w:t>
      </w:r>
      <w:r w:rsidR="0098037B" w:rsidRPr="00B3329E">
        <w:rPr>
          <w:rFonts w:ascii="Tahoma" w:hAnsi="Tahoma" w:cs="Tahoma"/>
          <w:color w:val="000000" w:themeColor="text1"/>
        </w:rPr>
        <w:t>are</w:t>
      </w:r>
      <w:r w:rsidRPr="00B3329E">
        <w:rPr>
          <w:rFonts w:ascii="Tahoma" w:hAnsi="Tahoma" w:cs="Tahoma"/>
          <w:color w:val="000000" w:themeColor="text1"/>
        </w:rPr>
        <w:t xml:space="preserve"> indeed </w:t>
      </w:r>
      <w:r w:rsidR="0098037B" w:rsidRPr="00B3329E">
        <w:rPr>
          <w:rFonts w:ascii="Tahoma" w:hAnsi="Tahoma" w:cs="Tahoma"/>
          <w:color w:val="000000" w:themeColor="text1"/>
        </w:rPr>
        <w:t xml:space="preserve">an asset class </w:t>
      </w:r>
      <w:r w:rsidRPr="00B3329E">
        <w:rPr>
          <w:rFonts w:ascii="Tahoma" w:hAnsi="Tahoma" w:cs="Tahoma"/>
          <w:color w:val="000000" w:themeColor="text1"/>
        </w:rPr>
        <w:t xml:space="preserve">provide </w:t>
      </w:r>
      <w:r w:rsidR="00736A3F" w:rsidRPr="00B3329E">
        <w:rPr>
          <w:rFonts w:ascii="Tahoma" w:hAnsi="Tahoma" w:cs="Tahoma"/>
          <w:color w:val="000000" w:themeColor="text1"/>
        </w:rPr>
        <w:t xml:space="preserve">the </w:t>
      </w:r>
      <w:r w:rsidR="0079747B" w:rsidRPr="00B3329E">
        <w:rPr>
          <w:rFonts w:ascii="Tahoma" w:hAnsi="Tahoma" w:cs="Tahoma"/>
          <w:color w:val="000000" w:themeColor="text1"/>
        </w:rPr>
        <w:t>advertised</w:t>
      </w:r>
      <w:r w:rsidR="00736A3F" w:rsidRPr="00B3329E">
        <w:rPr>
          <w:rFonts w:ascii="Tahoma" w:hAnsi="Tahoma" w:cs="Tahoma"/>
          <w:color w:val="000000" w:themeColor="text1"/>
        </w:rPr>
        <w:t xml:space="preserve"> characteristics of </w:t>
      </w:r>
      <w:r w:rsidRPr="00B3329E">
        <w:rPr>
          <w:rFonts w:ascii="Tahoma" w:hAnsi="Tahoma" w:cs="Tahoma"/>
          <w:color w:val="000000" w:themeColor="text1"/>
        </w:rPr>
        <w:t>stable returns and diversification (</w:t>
      </w:r>
      <w:r w:rsidR="008C77C8" w:rsidRPr="00B3329E">
        <w:rPr>
          <w:rFonts w:ascii="Tahoma" w:hAnsi="Tahoma" w:cs="Tahoma"/>
          <w:color w:val="000000" w:themeColor="text1"/>
        </w:rPr>
        <w:t>Sawant</w:t>
      </w:r>
      <w:r w:rsidR="0004343D">
        <w:rPr>
          <w:rFonts w:ascii="Tahoma" w:hAnsi="Tahoma" w:cs="Tahoma"/>
          <w:color w:val="000000" w:themeColor="text1"/>
        </w:rPr>
        <w:t>,</w:t>
      </w:r>
      <w:r w:rsidR="008C77C8" w:rsidRPr="00B3329E">
        <w:rPr>
          <w:rFonts w:ascii="Tahoma" w:hAnsi="Tahoma" w:cs="Tahoma"/>
          <w:color w:val="000000" w:themeColor="text1"/>
        </w:rPr>
        <w:t xml:space="preserve"> 2</w:t>
      </w:r>
      <w:r w:rsidR="00D97C26" w:rsidRPr="00B3329E">
        <w:rPr>
          <w:rFonts w:ascii="Tahoma" w:hAnsi="Tahoma" w:cs="Tahoma"/>
          <w:color w:val="000000" w:themeColor="text1"/>
        </w:rPr>
        <w:t>010</w:t>
      </w:r>
      <w:r w:rsidR="0004343D">
        <w:rPr>
          <w:rFonts w:ascii="Tahoma" w:hAnsi="Tahoma" w:cs="Tahoma"/>
          <w:color w:val="000000" w:themeColor="text1"/>
        </w:rPr>
        <w:t>)</w:t>
      </w:r>
      <w:r w:rsidR="000923B8" w:rsidRPr="00B3329E">
        <w:rPr>
          <w:rFonts w:ascii="Tahoma" w:hAnsi="Tahoma" w:cs="Tahoma"/>
          <w:color w:val="000000" w:themeColor="text1"/>
        </w:rPr>
        <w:t xml:space="preserve">.  However, there is </w:t>
      </w:r>
      <w:r w:rsidR="00736A3F" w:rsidRPr="00B3329E">
        <w:rPr>
          <w:rFonts w:ascii="Tahoma" w:hAnsi="Tahoma" w:cs="Tahoma"/>
          <w:color w:val="000000" w:themeColor="text1"/>
        </w:rPr>
        <w:t>a dis</w:t>
      </w:r>
      <w:r w:rsidR="000923B8" w:rsidRPr="00B3329E">
        <w:rPr>
          <w:rFonts w:ascii="Tahoma" w:hAnsi="Tahoma" w:cs="Tahoma"/>
          <w:color w:val="000000" w:themeColor="text1"/>
        </w:rPr>
        <w:t xml:space="preserve">agreement about whether these characteristics are </w:t>
      </w:r>
      <w:r w:rsidR="00736A3F" w:rsidRPr="00B3329E">
        <w:rPr>
          <w:rFonts w:ascii="Tahoma" w:hAnsi="Tahoma" w:cs="Tahoma"/>
          <w:color w:val="000000" w:themeColor="text1"/>
        </w:rPr>
        <w:t xml:space="preserve">also </w:t>
      </w:r>
      <w:r w:rsidR="000923B8" w:rsidRPr="00B3329E">
        <w:rPr>
          <w:rFonts w:ascii="Tahoma" w:hAnsi="Tahoma" w:cs="Tahoma"/>
          <w:color w:val="000000" w:themeColor="text1"/>
        </w:rPr>
        <w:t>present in listed infrastructu</w:t>
      </w:r>
      <w:r w:rsidR="009B73D7" w:rsidRPr="00B3329E">
        <w:rPr>
          <w:rFonts w:ascii="Tahoma" w:hAnsi="Tahoma" w:cs="Tahoma"/>
          <w:color w:val="000000" w:themeColor="text1"/>
        </w:rPr>
        <w:t xml:space="preserve">re.  Studies by </w:t>
      </w:r>
      <w:r w:rsidR="00F8109D" w:rsidRPr="00B3329E">
        <w:rPr>
          <w:rFonts w:ascii="Tahoma" w:hAnsi="Tahoma" w:cs="Tahoma"/>
          <w:color w:val="000000" w:themeColor="text1"/>
        </w:rPr>
        <w:t>Oyodele</w:t>
      </w:r>
      <w:r w:rsidR="009B73D7" w:rsidRPr="00B3329E">
        <w:rPr>
          <w:rFonts w:ascii="Tahoma" w:hAnsi="Tahoma" w:cs="Tahoma"/>
          <w:color w:val="000000" w:themeColor="text1"/>
        </w:rPr>
        <w:t xml:space="preserve"> (</w:t>
      </w:r>
      <w:r w:rsidR="00F8109D" w:rsidRPr="00B3329E">
        <w:rPr>
          <w:rFonts w:ascii="Tahoma" w:hAnsi="Tahoma" w:cs="Tahoma"/>
          <w:color w:val="000000" w:themeColor="text1"/>
        </w:rPr>
        <w:t>2013</w:t>
      </w:r>
      <w:r w:rsidR="009B73D7" w:rsidRPr="00B3329E">
        <w:rPr>
          <w:rFonts w:ascii="Tahoma" w:hAnsi="Tahoma" w:cs="Tahoma"/>
          <w:color w:val="000000" w:themeColor="text1"/>
        </w:rPr>
        <w:t xml:space="preserve">) find that listed infrastructure does provide </w:t>
      </w:r>
      <w:r w:rsidR="00F8109D" w:rsidRPr="00B3329E">
        <w:rPr>
          <w:rFonts w:ascii="Tahoma" w:hAnsi="Tahoma" w:cs="Tahoma"/>
          <w:color w:val="000000" w:themeColor="text1"/>
        </w:rPr>
        <w:t>diversification</w:t>
      </w:r>
      <w:r w:rsidR="009B73D7" w:rsidRPr="00B3329E">
        <w:rPr>
          <w:rFonts w:ascii="Tahoma" w:hAnsi="Tahoma" w:cs="Tahoma"/>
          <w:color w:val="000000" w:themeColor="text1"/>
        </w:rPr>
        <w:t>, but other studies dispute these claims a</w:t>
      </w:r>
      <w:r w:rsidR="003B6C62" w:rsidRPr="00B3329E">
        <w:rPr>
          <w:rFonts w:ascii="Tahoma" w:hAnsi="Tahoma" w:cs="Tahoma"/>
          <w:color w:val="000000" w:themeColor="text1"/>
        </w:rPr>
        <w:t>nd believe listed infrastructure isn’t a distinct asset class or</w:t>
      </w:r>
      <w:r w:rsidR="0098037B" w:rsidRPr="00B3329E">
        <w:rPr>
          <w:rFonts w:ascii="Tahoma" w:hAnsi="Tahoma" w:cs="Tahoma"/>
          <w:color w:val="000000" w:themeColor="text1"/>
        </w:rPr>
        <w:t>,</w:t>
      </w:r>
      <w:r w:rsidR="008C77C8" w:rsidRPr="00B3329E">
        <w:rPr>
          <w:rFonts w:ascii="Tahoma" w:hAnsi="Tahoma" w:cs="Tahoma"/>
          <w:color w:val="000000" w:themeColor="text1"/>
        </w:rPr>
        <w:t xml:space="preserve"> </w:t>
      </w:r>
      <w:r w:rsidR="003B6C62" w:rsidRPr="00B3329E">
        <w:rPr>
          <w:rFonts w:ascii="Tahoma" w:hAnsi="Tahoma" w:cs="Tahoma"/>
          <w:color w:val="000000" w:themeColor="text1"/>
        </w:rPr>
        <w:t xml:space="preserve">as Blanc-Brude </w:t>
      </w:r>
      <w:r w:rsidR="0098037B" w:rsidRPr="00B3329E">
        <w:rPr>
          <w:rFonts w:ascii="Tahoma" w:hAnsi="Tahoma" w:cs="Tahoma"/>
          <w:color w:val="000000" w:themeColor="text1"/>
        </w:rPr>
        <w:t xml:space="preserve">et al </w:t>
      </w:r>
      <w:r w:rsidR="00F0113E" w:rsidRPr="00B3329E">
        <w:rPr>
          <w:rFonts w:ascii="Tahoma" w:hAnsi="Tahoma" w:cs="Tahoma"/>
          <w:color w:val="000000" w:themeColor="text1"/>
        </w:rPr>
        <w:t>(201</w:t>
      </w:r>
      <w:r w:rsidR="008C77C8" w:rsidRPr="00B3329E">
        <w:rPr>
          <w:rFonts w:ascii="Tahoma" w:hAnsi="Tahoma" w:cs="Tahoma"/>
          <w:color w:val="000000" w:themeColor="text1"/>
        </w:rPr>
        <w:t>6</w:t>
      </w:r>
      <w:r w:rsidR="00F0113E" w:rsidRPr="00B3329E">
        <w:rPr>
          <w:rFonts w:ascii="Tahoma" w:hAnsi="Tahoma" w:cs="Tahoma"/>
          <w:color w:val="000000" w:themeColor="text1"/>
        </w:rPr>
        <w:t xml:space="preserve">) </w:t>
      </w:r>
      <w:r w:rsidR="003B6C62" w:rsidRPr="00B3329E">
        <w:rPr>
          <w:rFonts w:ascii="Tahoma" w:hAnsi="Tahoma" w:cs="Tahoma"/>
          <w:color w:val="000000" w:themeColor="text1"/>
        </w:rPr>
        <w:t>puts it</w:t>
      </w:r>
      <w:r w:rsidR="00F0113E" w:rsidRPr="00B3329E">
        <w:rPr>
          <w:rFonts w:ascii="Tahoma" w:hAnsi="Tahoma" w:cs="Tahoma"/>
          <w:color w:val="000000" w:themeColor="text1"/>
        </w:rPr>
        <w:t xml:space="preserve">, </w:t>
      </w:r>
      <w:r w:rsidR="008C77C8" w:rsidRPr="00B3329E">
        <w:rPr>
          <w:rFonts w:ascii="Tahoma" w:hAnsi="Tahoma" w:cs="Tahoma"/>
          <w:color w:val="000000" w:themeColor="text1"/>
        </w:rPr>
        <w:t xml:space="preserve">is </w:t>
      </w:r>
      <w:r w:rsidR="003B6C62" w:rsidRPr="00B3329E">
        <w:rPr>
          <w:rFonts w:ascii="Tahoma" w:hAnsi="Tahoma" w:cs="Tahoma"/>
          <w:color w:val="000000" w:themeColor="text1"/>
        </w:rPr>
        <w:t>“Fake Infra”</w:t>
      </w:r>
      <w:r w:rsidR="009B73D7" w:rsidRPr="00B3329E">
        <w:rPr>
          <w:rFonts w:ascii="Tahoma" w:hAnsi="Tahoma" w:cs="Tahoma"/>
          <w:color w:val="000000" w:themeColor="text1"/>
        </w:rPr>
        <w:t>.</w:t>
      </w:r>
      <w:r w:rsidR="00736A3F" w:rsidRPr="00B3329E">
        <w:rPr>
          <w:rFonts w:ascii="Tahoma" w:hAnsi="Tahoma" w:cs="Tahoma"/>
          <w:color w:val="000000" w:themeColor="text1"/>
        </w:rPr>
        <w:t xml:space="preserve">  </w:t>
      </w:r>
      <w:r w:rsidR="0077250D" w:rsidRPr="00B3329E">
        <w:rPr>
          <w:rFonts w:ascii="Tahoma" w:hAnsi="Tahoma" w:cs="Tahoma"/>
          <w:color w:val="000000" w:themeColor="text1"/>
        </w:rPr>
        <w:t xml:space="preserve"> </w:t>
      </w:r>
    </w:p>
    <w:p w:rsidR="0098037B" w:rsidRPr="00B3329E" w:rsidRDefault="0098037B" w:rsidP="00EA6483">
      <w:pPr>
        <w:spacing w:after="0"/>
        <w:rPr>
          <w:rFonts w:ascii="Tahoma" w:hAnsi="Tahoma" w:cs="Tahoma"/>
          <w:color w:val="000000" w:themeColor="text1"/>
        </w:rPr>
      </w:pPr>
    </w:p>
    <w:p w:rsidR="0098037B" w:rsidRPr="00B3329E" w:rsidRDefault="00736A3F" w:rsidP="00EA6483">
      <w:pPr>
        <w:spacing w:after="0"/>
        <w:rPr>
          <w:rFonts w:ascii="Tahoma" w:hAnsi="Tahoma" w:cs="Tahoma"/>
          <w:color w:val="000000" w:themeColor="text1"/>
        </w:rPr>
      </w:pPr>
      <w:r w:rsidRPr="00B3329E">
        <w:rPr>
          <w:rFonts w:ascii="Tahoma" w:hAnsi="Tahoma" w:cs="Tahoma"/>
          <w:color w:val="000000" w:themeColor="text1"/>
        </w:rPr>
        <w:t xml:space="preserve">Previous studies have </w:t>
      </w:r>
      <w:r w:rsidR="003B6C62" w:rsidRPr="00B3329E">
        <w:rPr>
          <w:rFonts w:ascii="Tahoma" w:hAnsi="Tahoma" w:cs="Tahoma"/>
          <w:color w:val="000000" w:themeColor="text1"/>
        </w:rPr>
        <w:t>typically surveyed</w:t>
      </w:r>
      <w:r w:rsidRPr="00B3329E">
        <w:rPr>
          <w:rFonts w:ascii="Tahoma" w:hAnsi="Tahoma" w:cs="Tahoma"/>
          <w:color w:val="000000" w:themeColor="text1"/>
        </w:rPr>
        <w:t xml:space="preserve"> </w:t>
      </w:r>
      <w:r w:rsidR="003B6C62" w:rsidRPr="00B3329E">
        <w:rPr>
          <w:rFonts w:ascii="Tahoma" w:hAnsi="Tahoma" w:cs="Tahoma"/>
          <w:color w:val="000000" w:themeColor="text1"/>
        </w:rPr>
        <w:t xml:space="preserve">different, short </w:t>
      </w:r>
      <w:r w:rsidRPr="00B3329E">
        <w:rPr>
          <w:rFonts w:ascii="Tahoma" w:hAnsi="Tahoma" w:cs="Tahoma"/>
          <w:color w:val="000000" w:themeColor="text1"/>
        </w:rPr>
        <w:t>time periods and often with</w:t>
      </w:r>
      <w:r w:rsidR="0077250D" w:rsidRPr="00B3329E">
        <w:rPr>
          <w:rFonts w:ascii="Tahoma" w:hAnsi="Tahoma" w:cs="Tahoma"/>
          <w:color w:val="000000" w:themeColor="text1"/>
        </w:rPr>
        <w:t xml:space="preserve"> a focus on a particular region</w:t>
      </w:r>
      <w:r w:rsidR="00CF66EB" w:rsidRPr="00B3329E">
        <w:rPr>
          <w:rFonts w:ascii="Tahoma" w:hAnsi="Tahoma" w:cs="Tahoma"/>
          <w:color w:val="000000" w:themeColor="text1"/>
        </w:rPr>
        <w:t>, sub-sector</w:t>
      </w:r>
      <w:r w:rsidR="0077250D" w:rsidRPr="00B3329E">
        <w:rPr>
          <w:rFonts w:ascii="Tahoma" w:hAnsi="Tahoma" w:cs="Tahoma"/>
          <w:color w:val="000000" w:themeColor="text1"/>
        </w:rPr>
        <w:t xml:space="preserve"> or investment </w:t>
      </w:r>
      <w:r w:rsidR="003B6C62" w:rsidRPr="00B3329E">
        <w:rPr>
          <w:rFonts w:ascii="Tahoma" w:hAnsi="Tahoma" w:cs="Tahoma"/>
          <w:color w:val="000000" w:themeColor="text1"/>
        </w:rPr>
        <w:t>structure</w:t>
      </w:r>
      <w:r w:rsidR="00CF66EB" w:rsidRPr="00B3329E">
        <w:rPr>
          <w:rFonts w:ascii="Tahoma" w:hAnsi="Tahoma" w:cs="Tahoma"/>
          <w:color w:val="000000" w:themeColor="text1"/>
        </w:rPr>
        <w:t xml:space="preserve"> within this heterogeneous asset class.  These differences in study approach may contribute to</w:t>
      </w:r>
      <w:r w:rsidR="003B6C62" w:rsidRPr="00B3329E">
        <w:rPr>
          <w:rFonts w:ascii="Tahoma" w:hAnsi="Tahoma" w:cs="Tahoma"/>
          <w:color w:val="000000" w:themeColor="text1"/>
        </w:rPr>
        <w:t xml:space="preserve"> the inconsistency of conclusions.</w:t>
      </w:r>
      <w:r w:rsidR="0098037B" w:rsidRPr="00B3329E">
        <w:rPr>
          <w:rFonts w:ascii="Tahoma" w:hAnsi="Tahoma" w:cs="Tahoma"/>
          <w:color w:val="000000" w:themeColor="text1"/>
        </w:rPr>
        <w:t xml:space="preserve">  </w:t>
      </w:r>
      <w:r w:rsidR="008C77C8" w:rsidRPr="00B3329E">
        <w:rPr>
          <w:rFonts w:ascii="Tahoma" w:hAnsi="Tahoma" w:cs="Tahoma"/>
          <w:color w:val="000000" w:themeColor="text1"/>
        </w:rPr>
        <w:t>To give the private sector more confidence to invest there needs to be a clear understanding the expected return profile, with a focus on diversification due to this being in</w:t>
      </w:r>
      <w:r w:rsidR="0098037B" w:rsidRPr="00B3329E">
        <w:rPr>
          <w:rFonts w:ascii="Tahoma" w:hAnsi="Tahoma" w:cs="Tahoma"/>
          <w:color w:val="000000" w:themeColor="text1"/>
        </w:rPr>
        <w:t xml:space="preserve">vestors main motivation for allocating to infrastructure.  </w:t>
      </w:r>
    </w:p>
    <w:p w:rsidR="0098037B" w:rsidRPr="00B3329E" w:rsidRDefault="0098037B" w:rsidP="00EA6483">
      <w:pPr>
        <w:spacing w:after="0"/>
        <w:rPr>
          <w:rFonts w:ascii="Tahoma" w:hAnsi="Tahoma" w:cs="Tahoma"/>
          <w:color w:val="000000" w:themeColor="text1"/>
        </w:rPr>
      </w:pPr>
    </w:p>
    <w:p w:rsidR="008C77C8" w:rsidRPr="00B3329E" w:rsidRDefault="004E4930" w:rsidP="00EA6483">
      <w:pPr>
        <w:spacing w:after="0"/>
        <w:rPr>
          <w:rFonts w:ascii="Tahoma" w:hAnsi="Tahoma" w:cs="Tahoma"/>
          <w:color w:val="000000" w:themeColor="text1"/>
        </w:rPr>
      </w:pPr>
      <w:r w:rsidRPr="00B3329E">
        <w:rPr>
          <w:rFonts w:ascii="Tahoma" w:hAnsi="Tahoma" w:cs="Tahoma"/>
          <w:color w:val="000000" w:themeColor="text1"/>
        </w:rPr>
        <w:t>This paper aims to contribute to the existing body of kno</w:t>
      </w:r>
      <w:r w:rsidR="00F33CE4">
        <w:rPr>
          <w:rFonts w:ascii="Tahoma" w:hAnsi="Tahoma" w:cs="Tahoma"/>
          <w:color w:val="000000" w:themeColor="text1"/>
        </w:rPr>
        <w:t>wledge on listed infrastructure</w:t>
      </w:r>
      <w:r w:rsidRPr="00B3329E">
        <w:rPr>
          <w:rFonts w:ascii="Tahoma" w:hAnsi="Tahoma" w:cs="Tahoma"/>
          <w:color w:val="000000" w:themeColor="text1"/>
        </w:rPr>
        <w:t xml:space="preserve"> by </w:t>
      </w:r>
      <w:r w:rsidR="00F33CE4">
        <w:rPr>
          <w:rFonts w:ascii="Tahoma" w:hAnsi="Tahoma" w:cs="Tahoma"/>
          <w:color w:val="000000" w:themeColor="text1"/>
        </w:rPr>
        <w:t>studying</w:t>
      </w:r>
      <w:r w:rsidR="00547F70">
        <w:rPr>
          <w:rFonts w:ascii="Tahoma" w:hAnsi="Tahoma" w:cs="Tahoma"/>
          <w:color w:val="000000" w:themeColor="text1"/>
        </w:rPr>
        <w:t xml:space="preserve"> the </w:t>
      </w:r>
      <w:r w:rsidR="00F33CE4">
        <w:rPr>
          <w:rFonts w:ascii="Tahoma" w:hAnsi="Tahoma" w:cs="Tahoma"/>
          <w:color w:val="000000" w:themeColor="text1"/>
        </w:rPr>
        <w:t>diversification</w:t>
      </w:r>
      <w:r w:rsidRPr="00B3329E">
        <w:rPr>
          <w:rFonts w:ascii="Tahoma" w:hAnsi="Tahoma" w:cs="Tahoma"/>
          <w:color w:val="000000" w:themeColor="text1"/>
        </w:rPr>
        <w:t xml:space="preserve"> </w:t>
      </w:r>
      <w:r w:rsidR="00F33CE4">
        <w:rPr>
          <w:rFonts w:ascii="Tahoma" w:hAnsi="Tahoma" w:cs="Tahoma"/>
          <w:color w:val="000000" w:themeColor="text1"/>
        </w:rPr>
        <w:t>profile</w:t>
      </w:r>
      <w:r w:rsidR="0098037B" w:rsidRPr="00B3329E">
        <w:rPr>
          <w:rFonts w:ascii="Tahoma" w:hAnsi="Tahoma" w:cs="Tahoma"/>
          <w:color w:val="000000" w:themeColor="text1"/>
        </w:rPr>
        <w:t xml:space="preserve"> of these structures, over multiple time periods</w:t>
      </w:r>
      <w:r w:rsidR="00547F70">
        <w:rPr>
          <w:rFonts w:ascii="Tahoma" w:hAnsi="Tahoma" w:cs="Tahoma"/>
          <w:color w:val="000000" w:themeColor="text1"/>
        </w:rPr>
        <w:t xml:space="preserve">.  By exploring whether these characteristics make the case for listed infrastructure as an asset </w:t>
      </w:r>
      <w:r w:rsidR="00547F70">
        <w:rPr>
          <w:rFonts w:ascii="Tahoma" w:hAnsi="Tahoma" w:cs="Tahoma"/>
          <w:color w:val="000000" w:themeColor="text1"/>
        </w:rPr>
        <w:lastRenderedPageBreak/>
        <w:t xml:space="preserve">class </w:t>
      </w:r>
      <w:r w:rsidR="00F33CE4">
        <w:rPr>
          <w:rFonts w:ascii="Tahoma" w:hAnsi="Tahoma" w:cs="Tahoma"/>
          <w:color w:val="000000" w:themeColor="text1"/>
        </w:rPr>
        <w:t>the study</w:t>
      </w:r>
      <w:r w:rsidR="00547F70">
        <w:rPr>
          <w:rFonts w:ascii="Tahoma" w:hAnsi="Tahoma" w:cs="Tahoma"/>
          <w:color w:val="000000" w:themeColor="text1"/>
        </w:rPr>
        <w:t xml:space="preserve"> will </w:t>
      </w:r>
      <w:r w:rsidR="0098037B" w:rsidRPr="00B3329E">
        <w:rPr>
          <w:rFonts w:ascii="Tahoma" w:hAnsi="Tahoma" w:cs="Tahoma"/>
          <w:color w:val="000000" w:themeColor="text1"/>
        </w:rPr>
        <w:t xml:space="preserve">provide a </w:t>
      </w:r>
      <w:r w:rsidR="00F33CE4">
        <w:rPr>
          <w:rFonts w:ascii="Tahoma" w:hAnsi="Tahoma" w:cs="Tahoma"/>
          <w:color w:val="000000" w:themeColor="text1"/>
        </w:rPr>
        <w:t>clearer</w:t>
      </w:r>
      <w:r w:rsidR="0098037B" w:rsidRPr="00B3329E">
        <w:rPr>
          <w:rFonts w:ascii="Tahoma" w:hAnsi="Tahoma" w:cs="Tahoma"/>
          <w:color w:val="000000" w:themeColor="text1"/>
        </w:rPr>
        <w:t xml:space="preserve"> understanding of the </w:t>
      </w:r>
      <w:r w:rsidR="00F33CE4">
        <w:rPr>
          <w:rFonts w:ascii="Tahoma" w:hAnsi="Tahoma" w:cs="Tahoma"/>
          <w:color w:val="000000" w:themeColor="text1"/>
        </w:rPr>
        <w:t xml:space="preserve">investment opportunity </w:t>
      </w:r>
      <w:r w:rsidR="0098037B" w:rsidRPr="00B3329E">
        <w:rPr>
          <w:rFonts w:ascii="Tahoma" w:hAnsi="Tahoma" w:cs="Tahoma"/>
          <w:color w:val="000000" w:themeColor="text1"/>
        </w:rPr>
        <w:t xml:space="preserve">to better inform investors’ decision making process.  </w:t>
      </w:r>
      <w:r w:rsidRPr="00B3329E">
        <w:rPr>
          <w:rFonts w:ascii="Tahoma" w:hAnsi="Tahoma" w:cs="Tahoma"/>
          <w:color w:val="000000" w:themeColor="text1"/>
        </w:rPr>
        <w:t>The intended audience is investors, asset managers and academics.</w:t>
      </w:r>
    </w:p>
    <w:p w:rsidR="00EA6483" w:rsidRPr="00B3329E" w:rsidRDefault="00EA6483" w:rsidP="00EA6483">
      <w:pPr>
        <w:spacing w:after="0"/>
        <w:rPr>
          <w:rFonts w:ascii="Tahoma" w:hAnsi="Tahoma" w:cs="Tahoma"/>
          <w:color w:val="000000" w:themeColor="text1"/>
        </w:rPr>
      </w:pPr>
    </w:p>
    <w:p w:rsidR="00AD25F2" w:rsidRPr="00B3329E" w:rsidRDefault="00AD25F2" w:rsidP="00EA6483">
      <w:pPr>
        <w:spacing w:after="0"/>
        <w:rPr>
          <w:rFonts w:ascii="Tahoma" w:hAnsi="Tahoma" w:cs="Tahoma"/>
          <w:color w:val="000000" w:themeColor="text1"/>
        </w:rPr>
      </w:pPr>
      <w:r w:rsidRPr="00B3329E">
        <w:rPr>
          <w:rFonts w:ascii="Tahoma" w:hAnsi="Tahoma" w:cs="Tahoma"/>
          <w:color w:val="000000" w:themeColor="text1"/>
        </w:rPr>
        <w:t xml:space="preserve">The first section presents a review of the existing academic literature on this topic, this is followed by a description of the methodology followed in this study.  The next section presents the results and accompanying analysis.  The final section </w:t>
      </w:r>
      <w:r w:rsidR="00EF7A33" w:rsidRPr="00B3329E">
        <w:rPr>
          <w:rFonts w:ascii="Tahoma" w:hAnsi="Tahoma" w:cs="Tahoma"/>
          <w:color w:val="000000" w:themeColor="text1"/>
        </w:rPr>
        <w:t xml:space="preserve">offers </w:t>
      </w:r>
      <w:r w:rsidRPr="00B3329E">
        <w:rPr>
          <w:rFonts w:ascii="Tahoma" w:hAnsi="Tahoma" w:cs="Tahoma"/>
          <w:color w:val="000000" w:themeColor="text1"/>
        </w:rPr>
        <w:t>conclusions and recommendations.</w:t>
      </w:r>
    </w:p>
    <w:p w:rsidR="00125C64" w:rsidRPr="00B3329E" w:rsidRDefault="00125C64" w:rsidP="00EA6483">
      <w:pPr>
        <w:spacing w:after="0"/>
        <w:rPr>
          <w:rFonts w:ascii="Tahoma" w:hAnsi="Tahoma" w:cs="Tahoma"/>
          <w:color w:val="000000" w:themeColor="text1"/>
        </w:rPr>
      </w:pPr>
    </w:p>
    <w:p w:rsidR="00D92D30" w:rsidRPr="00B3329E" w:rsidRDefault="00D92D30" w:rsidP="00EA6483">
      <w:pPr>
        <w:spacing w:after="0"/>
        <w:rPr>
          <w:rFonts w:ascii="Tahoma" w:hAnsi="Tahoma" w:cs="Tahoma"/>
          <w:color w:val="000000" w:themeColor="text1"/>
        </w:rPr>
      </w:pPr>
    </w:p>
    <w:p w:rsidR="000974F4" w:rsidRDefault="000974F4">
      <w:pPr>
        <w:rPr>
          <w:rFonts w:ascii="Tahoma" w:eastAsiaTheme="majorEastAsia" w:hAnsi="Tahoma" w:cs="Tahoma"/>
          <w:b/>
          <w:color w:val="000000" w:themeColor="text1"/>
          <w:sz w:val="28"/>
          <w:szCs w:val="36"/>
        </w:rPr>
      </w:pPr>
      <w:bookmarkStart w:id="7" w:name="_Toc523311338"/>
      <w:r>
        <w:rPr>
          <w:rFonts w:cs="Tahoma"/>
          <w:color w:val="000000" w:themeColor="text1"/>
        </w:rPr>
        <w:br w:type="page"/>
      </w:r>
    </w:p>
    <w:p w:rsidR="00A34387" w:rsidRPr="00B3329E" w:rsidRDefault="009E07CA" w:rsidP="002947E6">
      <w:pPr>
        <w:pStyle w:val="1"/>
        <w:rPr>
          <w:rFonts w:cs="Tahoma"/>
          <w:color w:val="000000" w:themeColor="text1"/>
        </w:rPr>
      </w:pPr>
      <w:r w:rsidRPr="00B3329E">
        <w:rPr>
          <w:rFonts w:cs="Tahoma"/>
          <w:color w:val="000000" w:themeColor="text1"/>
        </w:rPr>
        <w:lastRenderedPageBreak/>
        <w:t>2</w:t>
      </w:r>
      <w:r w:rsidR="003D4C80" w:rsidRPr="00B3329E">
        <w:rPr>
          <w:rFonts w:cs="Tahoma"/>
          <w:color w:val="000000" w:themeColor="text1"/>
        </w:rPr>
        <w:t>.</w:t>
      </w:r>
      <w:r w:rsidRPr="00B3329E">
        <w:rPr>
          <w:rFonts w:cs="Tahoma"/>
          <w:color w:val="000000" w:themeColor="text1"/>
        </w:rPr>
        <w:t xml:space="preserve"> </w:t>
      </w:r>
      <w:r w:rsidR="004C2C63">
        <w:rPr>
          <w:rFonts w:cs="Tahoma"/>
          <w:color w:val="000000" w:themeColor="text1"/>
        </w:rPr>
        <w:t>Literature r</w:t>
      </w:r>
      <w:r w:rsidR="00A34387" w:rsidRPr="00B3329E">
        <w:rPr>
          <w:rFonts w:cs="Tahoma"/>
          <w:color w:val="000000" w:themeColor="text1"/>
        </w:rPr>
        <w:t>eview</w:t>
      </w:r>
      <w:bookmarkEnd w:id="7"/>
    </w:p>
    <w:p w:rsidR="00562259" w:rsidRPr="00B3329E" w:rsidRDefault="00562259" w:rsidP="00EA6483">
      <w:pPr>
        <w:spacing w:after="0"/>
        <w:rPr>
          <w:rFonts w:ascii="Tahoma" w:hAnsi="Tahoma" w:cs="Tahoma"/>
          <w:color w:val="000000" w:themeColor="text1"/>
        </w:rPr>
      </w:pPr>
    </w:p>
    <w:p w:rsidR="003363A1" w:rsidRPr="00B3329E" w:rsidRDefault="00AF2661" w:rsidP="00EA6483">
      <w:pPr>
        <w:spacing w:after="0"/>
        <w:rPr>
          <w:rFonts w:ascii="Tahoma" w:hAnsi="Tahoma" w:cs="Tahoma"/>
          <w:color w:val="000000" w:themeColor="text1"/>
        </w:rPr>
      </w:pPr>
      <w:r w:rsidRPr="00B3329E">
        <w:rPr>
          <w:rFonts w:ascii="Tahoma" w:hAnsi="Tahoma" w:cs="Tahoma"/>
          <w:color w:val="000000" w:themeColor="text1"/>
        </w:rPr>
        <w:t xml:space="preserve">It is </w:t>
      </w:r>
      <w:r w:rsidR="00470F4E" w:rsidRPr="00B3329E">
        <w:rPr>
          <w:rFonts w:ascii="Tahoma" w:hAnsi="Tahoma" w:cs="Tahoma"/>
          <w:color w:val="000000" w:themeColor="text1"/>
        </w:rPr>
        <w:t xml:space="preserve">widely </w:t>
      </w:r>
      <w:r w:rsidRPr="00B3329E">
        <w:rPr>
          <w:rFonts w:ascii="Tahoma" w:hAnsi="Tahoma" w:cs="Tahoma"/>
          <w:color w:val="000000" w:themeColor="text1"/>
        </w:rPr>
        <w:t>agreed by academic researchers</w:t>
      </w:r>
      <w:r w:rsidR="00534DF7" w:rsidRPr="00B3329E">
        <w:rPr>
          <w:rFonts w:ascii="Tahoma" w:hAnsi="Tahoma" w:cs="Tahoma"/>
          <w:color w:val="000000" w:themeColor="text1"/>
        </w:rPr>
        <w:t xml:space="preserve"> that unlisted infrastructure investments </w:t>
      </w:r>
      <w:r w:rsidRPr="00B3329E">
        <w:rPr>
          <w:rFonts w:ascii="Tahoma" w:hAnsi="Tahoma" w:cs="Tahoma"/>
          <w:color w:val="000000" w:themeColor="text1"/>
        </w:rPr>
        <w:t>typically</w:t>
      </w:r>
      <w:r w:rsidR="00534DF7" w:rsidRPr="00B3329E">
        <w:rPr>
          <w:rFonts w:ascii="Tahoma" w:hAnsi="Tahoma" w:cs="Tahoma"/>
          <w:color w:val="000000" w:themeColor="text1"/>
        </w:rPr>
        <w:t xml:space="preserve"> generate </w:t>
      </w:r>
      <w:r w:rsidRPr="00B3329E">
        <w:rPr>
          <w:rFonts w:ascii="Tahoma" w:hAnsi="Tahoma" w:cs="Tahoma"/>
          <w:color w:val="000000" w:themeColor="text1"/>
        </w:rPr>
        <w:t>stable returns</w:t>
      </w:r>
      <w:r w:rsidR="00E172BE" w:rsidRPr="00B3329E">
        <w:rPr>
          <w:rFonts w:ascii="Tahoma" w:hAnsi="Tahoma" w:cs="Tahoma"/>
          <w:color w:val="000000" w:themeColor="text1"/>
        </w:rPr>
        <w:t xml:space="preserve"> </w:t>
      </w:r>
      <w:r w:rsidR="002A5147" w:rsidRPr="00B3329E">
        <w:rPr>
          <w:rFonts w:ascii="Tahoma" w:hAnsi="Tahoma" w:cs="Tahoma"/>
          <w:color w:val="000000" w:themeColor="text1"/>
        </w:rPr>
        <w:t>with</w:t>
      </w:r>
      <w:r w:rsidR="00534DF7" w:rsidRPr="00B3329E">
        <w:rPr>
          <w:rFonts w:ascii="Tahoma" w:hAnsi="Tahoma" w:cs="Tahoma"/>
          <w:color w:val="000000" w:themeColor="text1"/>
        </w:rPr>
        <w:t xml:space="preserve"> </w:t>
      </w:r>
      <w:r w:rsidR="00000DAD" w:rsidRPr="00B3329E">
        <w:rPr>
          <w:rFonts w:ascii="Tahoma" w:hAnsi="Tahoma" w:cs="Tahoma"/>
          <w:color w:val="000000" w:themeColor="text1"/>
        </w:rPr>
        <w:t xml:space="preserve">low correlation </w:t>
      </w:r>
      <w:r w:rsidR="002A5147" w:rsidRPr="00B3329E">
        <w:rPr>
          <w:rFonts w:ascii="Tahoma" w:hAnsi="Tahoma" w:cs="Tahoma"/>
          <w:color w:val="000000" w:themeColor="text1"/>
        </w:rPr>
        <w:t xml:space="preserve">to </w:t>
      </w:r>
      <w:r w:rsidR="00534DF7" w:rsidRPr="00B3329E">
        <w:rPr>
          <w:rFonts w:ascii="Tahoma" w:hAnsi="Tahoma" w:cs="Tahoma"/>
          <w:color w:val="000000" w:themeColor="text1"/>
        </w:rPr>
        <w:t>equities and bonds which results from owning unique projects with cash flows contractually linked to inflation and disconnected fro</w:t>
      </w:r>
      <w:r w:rsidR="00D10088" w:rsidRPr="00B3329E">
        <w:rPr>
          <w:rFonts w:ascii="Tahoma" w:hAnsi="Tahoma" w:cs="Tahoma"/>
          <w:color w:val="000000" w:themeColor="text1"/>
        </w:rPr>
        <w:t xml:space="preserve">m general economic activity </w:t>
      </w:r>
      <w:r w:rsidR="0004343D">
        <w:rPr>
          <w:rFonts w:ascii="Tahoma" w:hAnsi="Tahoma" w:cs="Tahoma"/>
          <w:color w:val="000000" w:themeColor="text1"/>
        </w:rPr>
        <w:t>(</w:t>
      </w:r>
      <w:r w:rsidR="00D10088" w:rsidRPr="00B3329E">
        <w:rPr>
          <w:rFonts w:ascii="Tahoma" w:hAnsi="Tahoma" w:cs="Tahoma"/>
          <w:color w:val="000000" w:themeColor="text1"/>
        </w:rPr>
        <w:t xml:space="preserve"> </w:t>
      </w:r>
      <w:r w:rsidR="00534DF7" w:rsidRPr="00B3329E">
        <w:rPr>
          <w:rFonts w:ascii="Tahoma" w:hAnsi="Tahoma" w:cs="Tahoma"/>
          <w:color w:val="000000" w:themeColor="text1"/>
        </w:rPr>
        <w:t xml:space="preserve">Inderst, 2009). </w:t>
      </w:r>
      <w:r w:rsidR="001C0E8C" w:rsidRPr="00B3329E">
        <w:rPr>
          <w:rFonts w:ascii="Tahoma" w:hAnsi="Tahoma" w:cs="Tahoma"/>
          <w:color w:val="000000" w:themeColor="text1"/>
        </w:rPr>
        <w:t>Blanc-Brude et al’s (2016) review of UK unlisted infrastructure firms f</w:t>
      </w:r>
      <w:r w:rsidR="00470F4E" w:rsidRPr="00B3329E">
        <w:rPr>
          <w:rFonts w:ascii="Tahoma" w:hAnsi="Tahoma" w:cs="Tahoma"/>
          <w:color w:val="000000" w:themeColor="text1"/>
        </w:rPr>
        <w:t>ound</w:t>
      </w:r>
      <w:r w:rsidR="001C0E8C" w:rsidRPr="00B3329E">
        <w:rPr>
          <w:rFonts w:ascii="Tahoma" w:hAnsi="Tahoma" w:cs="Tahoma"/>
          <w:color w:val="000000" w:themeColor="text1"/>
        </w:rPr>
        <w:t>s that their fundamental performance is consistent with the narrative i.e. rev</w:t>
      </w:r>
      <w:r w:rsidR="002A5147" w:rsidRPr="00B3329E">
        <w:rPr>
          <w:rFonts w:ascii="Tahoma" w:hAnsi="Tahoma" w:cs="Tahoma"/>
          <w:color w:val="000000" w:themeColor="text1"/>
        </w:rPr>
        <w:t>e</w:t>
      </w:r>
      <w:r w:rsidR="001C0E8C" w:rsidRPr="00B3329E">
        <w:rPr>
          <w:rFonts w:ascii="Tahoma" w:hAnsi="Tahoma" w:cs="Tahoma"/>
          <w:color w:val="000000" w:themeColor="text1"/>
        </w:rPr>
        <w:t>nues and profits are considerably less volatile and are not impacted signifi</w:t>
      </w:r>
      <w:r w:rsidR="00D97C26" w:rsidRPr="00B3329E">
        <w:rPr>
          <w:rFonts w:ascii="Tahoma" w:hAnsi="Tahoma" w:cs="Tahoma"/>
          <w:color w:val="000000" w:themeColor="text1"/>
        </w:rPr>
        <w:t xml:space="preserve">cantly by the business cycle.  </w:t>
      </w:r>
      <w:r w:rsidR="00534DF7" w:rsidRPr="00B3329E">
        <w:rPr>
          <w:rFonts w:ascii="Tahoma" w:hAnsi="Tahoma" w:cs="Tahoma"/>
          <w:color w:val="000000" w:themeColor="text1"/>
        </w:rPr>
        <w:t xml:space="preserve">Consequently, </w:t>
      </w:r>
      <w:r w:rsidR="00000DAD" w:rsidRPr="00B3329E">
        <w:rPr>
          <w:rFonts w:ascii="Tahoma" w:hAnsi="Tahoma" w:cs="Tahoma"/>
          <w:color w:val="000000" w:themeColor="text1"/>
        </w:rPr>
        <w:t xml:space="preserve">unlisted infrastructure is regarded as a distinct asset class </w:t>
      </w:r>
      <w:r w:rsidR="00470F4E" w:rsidRPr="00B3329E">
        <w:rPr>
          <w:rFonts w:ascii="Tahoma" w:hAnsi="Tahoma" w:cs="Tahoma"/>
          <w:color w:val="000000" w:themeColor="text1"/>
        </w:rPr>
        <w:t xml:space="preserve">with diversification potential and other </w:t>
      </w:r>
      <w:r w:rsidR="00000DAD" w:rsidRPr="00B3329E">
        <w:rPr>
          <w:rFonts w:ascii="Tahoma" w:hAnsi="Tahoma" w:cs="Tahoma"/>
          <w:color w:val="000000" w:themeColor="text1"/>
        </w:rPr>
        <w:t xml:space="preserve">characteristics </w:t>
      </w:r>
      <w:r w:rsidR="00470F4E" w:rsidRPr="00B3329E">
        <w:rPr>
          <w:rFonts w:ascii="Tahoma" w:hAnsi="Tahoma" w:cs="Tahoma"/>
          <w:color w:val="000000" w:themeColor="text1"/>
        </w:rPr>
        <w:t xml:space="preserve">that </w:t>
      </w:r>
      <w:r w:rsidR="00000DAD" w:rsidRPr="00B3329E">
        <w:rPr>
          <w:rFonts w:ascii="Tahoma" w:hAnsi="Tahoma" w:cs="Tahoma"/>
          <w:color w:val="000000" w:themeColor="text1"/>
        </w:rPr>
        <w:t>are found to</w:t>
      </w:r>
      <w:r w:rsidR="00534DF7" w:rsidRPr="00B3329E">
        <w:rPr>
          <w:rFonts w:ascii="Tahoma" w:hAnsi="Tahoma" w:cs="Tahoma"/>
          <w:color w:val="000000" w:themeColor="text1"/>
        </w:rPr>
        <w:t xml:space="preserve"> </w:t>
      </w:r>
      <w:r w:rsidR="00000DAD" w:rsidRPr="00B3329E">
        <w:rPr>
          <w:rFonts w:ascii="Tahoma" w:hAnsi="Tahoma" w:cs="Tahoma"/>
          <w:color w:val="000000" w:themeColor="text1"/>
        </w:rPr>
        <w:t xml:space="preserve">improve an investment portfolio’s risk-adjusted </w:t>
      </w:r>
      <w:r w:rsidR="00470F4E" w:rsidRPr="00B3329E">
        <w:rPr>
          <w:rFonts w:ascii="Tahoma" w:hAnsi="Tahoma" w:cs="Tahoma"/>
          <w:color w:val="000000" w:themeColor="text1"/>
        </w:rPr>
        <w:t>returns.</w:t>
      </w:r>
      <w:r w:rsidR="003363A1" w:rsidRPr="00B3329E">
        <w:rPr>
          <w:rFonts w:ascii="Tahoma" w:hAnsi="Tahoma" w:cs="Tahoma"/>
          <w:color w:val="000000" w:themeColor="text1"/>
        </w:rPr>
        <w:t xml:space="preserve">  </w:t>
      </w:r>
    </w:p>
    <w:p w:rsidR="003363A1" w:rsidRPr="00B3329E" w:rsidRDefault="003363A1" w:rsidP="00EA6483">
      <w:pPr>
        <w:spacing w:after="0"/>
        <w:rPr>
          <w:rFonts w:ascii="Tahoma" w:hAnsi="Tahoma" w:cs="Tahoma"/>
          <w:color w:val="000000" w:themeColor="text1"/>
        </w:rPr>
      </w:pPr>
    </w:p>
    <w:p w:rsidR="003835A1" w:rsidRPr="00B3329E" w:rsidRDefault="002A5147" w:rsidP="00EA6483">
      <w:pPr>
        <w:spacing w:after="0"/>
        <w:rPr>
          <w:rFonts w:ascii="Tahoma" w:hAnsi="Tahoma" w:cs="Tahoma"/>
          <w:color w:val="000000" w:themeColor="text1"/>
        </w:rPr>
      </w:pPr>
      <w:r w:rsidRPr="00B3329E">
        <w:rPr>
          <w:rFonts w:ascii="Tahoma" w:hAnsi="Tahoma" w:cs="Tahoma"/>
          <w:color w:val="000000" w:themeColor="text1"/>
        </w:rPr>
        <w:t>However, i</w:t>
      </w:r>
      <w:r w:rsidR="00F33814" w:rsidRPr="00B3329E">
        <w:rPr>
          <w:rFonts w:ascii="Tahoma" w:hAnsi="Tahoma" w:cs="Tahoma"/>
          <w:color w:val="000000" w:themeColor="text1"/>
        </w:rPr>
        <w:t>n contrast to unlisted studies</w:t>
      </w:r>
      <w:r w:rsidR="0079747B" w:rsidRPr="00B3329E">
        <w:rPr>
          <w:rFonts w:ascii="Tahoma" w:hAnsi="Tahoma" w:cs="Tahoma"/>
          <w:color w:val="000000" w:themeColor="text1"/>
        </w:rPr>
        <w:t>,</w:t>
      </w:r>
      <w:r w:rsidR="00470F4E" w:rsidRPr="00B3329E">
        <w:rPr>
          <w:rFonts w:ascii="Tahoma" w:hAnsi="Tahoma" w:cs="Tahoma"/>
          <w:color w:val="000000" w:themeColor="text1"/>
        </w:rPr>
        <w:t xml:space="preserve"> t</w:t>
      </w:r>
      <w:r w:rsidR="00DE0537" w:rsidRPr="00B3329E">
        <w:rPr>
          <w:rFonts w:ascii="Tahoma" w:hAnsi="Tahoma" w:cs="Tahoma"/>
          <w:color w:val="000000" w:themeColor="text1"/>
        </w:rPr>
        <w:t xml:space="preserve">he academic research on listed infrastructure does not </w:t>
      </w:r>
      <w:r w:rsidR="00470F4E" w:rsidRPr="00B3329E">
        <w:rPr>
          <w:rFonts w:ascii="Tahoma" w:hAnsi="Tahoma" w:cs="Tahoma"/>
          <w:color w:val="000000" w:themeColor="text1"/>
        </w:rPr>
        <w:t>reach</w:t>
      </w:r>
      <w:r w:rsidR="00DE0537" w:rsidRPr="00B3329E">
        <w:rPr>
          <w:rFonts w:ascii="Tahoma" w:hAnsi="Tahoma" w:cs="Tahoma"/>
          <w:color w:val="000000" w:themeColor="text1"/>
        </w:rPr>
        <w:t xml:space="preserve"> a </w:t>
      </w:r>
      <w:r w:rsidR="00671BEC" w:rsidRPr="00B3329E">
        <w:rPr>
          <w:rFonts w:ascii="Tahoma" w:hAnsi="Tahoma" w:cs="Tahoma"/>
          <w:color w:val="000000" w:themeColor="text1"/>
        </w:rPr>
        <w:t xml:space="preserve">collective </w:t>
      </w:r>
      <w:r w:rsidR="00DE0537" w:rsidRPr="00B3329E">
        <w:rPr>
          <w:rFonts w:ascii="Tahoma" w:hAnsi="Tahoma" w:cs="Tahoma"/>
          <w:color w:val="000000" w:themeColor="text1"/>
        </w:rPr>
        <w:t>conclusive verdict</w:t>
      </w:r>
      <w:r w:rsidR="00470F4E" w:rsidRPr="00B3329E">
        <w:rPr>
          <w:rFonts w:ascii="Tahoma" w:hAnsi="Tahoma" w:cs="Tahoma"/>
          <w:color w:val="000000" w:themeColor="text1"/>
        </w:rPr>
        <w:t xml:space="preserve"> on the investment merits</w:t>
      </w:r>
      <w:r w:rsidR="00DE0537" w:rsidRPr="00B3329E">
        <w:rPr>
          <w:rFonts w:ascii="Tahoma" w:hAnsi="Tahoma" w:cs="Tahoma"/>
          <w:color w:val="000000" w:themeColor="text1"/>
        </w:rPr>
        <w:t xml:space="preserve">.  Previous studies have </w:t>
      </w:r>
      <w:r w:rsidR="00470F4E" w:rsidRPr="00B3329E">
        <w:rPr>
          <w:rFonts w:ascii="Tahoma" w:hAnsi="Tahoma" w:cs="Tahoma"/>
          <w:color w:val="000000" w:themeColor="text1"/>
        </w:rPr>
        <w:t>covered</w:t>
      </w:r>
      <w:r w:rsidR="00DE0537" w:rsidRPr="00B3329E">
        <w:rPr>
          <w:rFonts w:ascii="Tahoma" w:hAnsi="Tahoma" w:cs="Tahoma"/>
          <w:color w:val="000000" w:themeColor="text1"/>
        </w:rPr>
        <w:t xml:space="preserve"> </w:t>
      </w:r>
      <w:r w:rsidR="00470F4E" w:rsidRPr="00B3329E">
        <w:rPr>
          <w:rFonts w:ascii="Tahoma" w:hAnsi="Tahoma" w:cs="Tahoma"/>
          <w:color w:val="000000" w:themeColor="text1"/>
        </w:rPr>
        <w:t>various</w:t>
      </w:r>
      <w:r w:rsidR="00DE0537" w:rsidRPr="00B3329E">
        <w:rPr>
          <w:rFonts w:ascii="Tahoma" w:hAnsi="Tahoma" w:cs="Tahoma"/>
          <w:color w:val="000000" w:themeColor="text1"/>
        </w:rPr>
        <w:t xml:space="preserve"> different types of listed infrastructure, studied different regions and over different time periods </w:t>
      </w:r>
      <w:r w:rsidR="00470F4E" w:rsidRPr="00B3329E">
        <w:rPr>
          <w:rFonts w:ascii="Tahoma" w:hAnsi="Tahoma" w:cs="Tahoma"/>
          <w:color w:val="000000" w:themeColor="text1"/>
        </w:rPr>
        <w:t>and</w:t>
      </w:r>
      <w:r w:rsidR="00DE0537" w:rsidRPr="00B3329E">
        <w:rPr>
          <w:rFonts w:ascii="Tahoma" w:hAnsi="Tahoma" w:cs="Tahoma"/>
          <w:color w:val="000000" w:themeColor="text1"/>
        </w:rPr>
        <w:t xml:space="preserve"> can </w:t>
      </w:r>
      <w:r w:rsidR="00470F4E" w:rsidRPr="00B3329E">
        <w:rPr>
          <w:rFonts w:ascii="Tahoma" w:hAnsi="Tahoma" w:cs="Tahoma"/>
          <w:color w:val="000000" w:themeColor="text1"/>
        </w:rPr>
        <w:t xml:space="preserve">generally </w:t>
      </w:r>
      <w:r w:rsidR="00DE0537" w:rsidRPr="00B3329E">
        <w:rPr>
          <w:rFonts w:ascii="Tahoma" w:hAnsi="Tahoma" w:cs="Tahoma"/>
          <w:color w:val="000000" w:themeColor="text1"/>
        </w:rPr>
        <w:t>be split into three groups based on their conclusions. The first make the case that listed infrastructure</w:t>
      </w:r>
      <w:r w:rsidR="007A2B10" w:rsidRPr="00B3329E">
        <w:rPr>
          <w:rFonts w:ascii="Tahoma" w:hAnsi="Tahoma" w:cs="Tahoma"/>
          <w:color w:val="000000" w:themeColor="text1"/>
        </w:rPr>
        <w:t xml:space="preserve"> is an asset class and that it provides portfolio diversification benefits;</w:t>
      </w:r>
      <w:r w:rsidR="00DE0537" w:rsidRPr="00B3329E">
        <w:rPr>
          <w:rFonts w:ascii="Tahoma" w:hAnsi="Tahoma" w:cs="Tahoma"/>
          <w:color w:val="000000" w:themeColor="text1"/>
        </w:rPr>
        <w:t xml:space="preserve"> the second set argue</w:t>
      </w:r>
      <w:r w:rsidR="007A2B10" w:rsidRPr="00B3329E">
        <w:rPr>
          <w:rFonts w:ascii="Tahoma" w:hAnsi="Tahoma" w:cs="Tahoma"/>
          <w:color w:val="000000" w:themeColor="text1"/>
        </w:rPr>
        <w:t>s</w:t>
      </w:r>
      <w:r w:rsidR="00DE0537" w:rsidRPr="00B3329E">
        <w:rPr>
          <w:rFonts w:ascii="Tahoma" w:hAnsi="Tahoma" w:cs="Tahoma"/>
          <w:color w:val="000000" w:themeColor="text1"/>
        </w:rPr>
        <w:t xml:space="preserve"> t</w:t>
      </w:r>
      <w:r w:rsidR="007A2B10" w:rsidRPr="00B3329E">
        <w:rPr>
          <w:rFonts w:ascii="Tahoma" w:hAnsi="Tahoma" w:cs="Tahoma"/>
          <w:color w:val="000000" w:themeColor="text1"/>
        </w:rPr>
        <w:t>hat listed infrastructure does no</w:t>
      </w:r>
      <w:r w:rsidR="00DE0537" w:rsidRPr="00B3329E">
        <w:rPr>
          <w:rFonts w:ascii="Tahoma" w:hAnsi="Tahoma" w:cs="Tahoma"/>
          <w:color w:val="000000" w:themeColor="text1"/>
        </w:rPr>
        <w:t xml:space="preserve">t </w:t>
      </w:r>
      <w:r w:rsidR="007A2B10" w:rsidRPr="00B3329E">
        <w:rPr>
          <w:rFonts w:ascii="Tahoma" w:hAnsi="Tahoma" w:cs="Tahoma"/>
          <w:color w:val="000000" w:themeColor="text1"/>
        </w:rPr>
        <w:t>provide</w:t>
      </w:r>
      <w:r w:rsidR="00DE0537" w:rsidRPr="00B3329E">
        <w:rPr>
          <w:rFonts w:ascii="Tahoma" w:hAnsi="Tahoma" w:cs="Tahoma"/>
          <w:color w:val="000000" w:themeColor="text1"/>
        </w:rPr>
        <w:t xml:space="preserve"> diversification </w:t>
      </w:r>
      <w:r w:rsidR="007A2B10" w:rsidRPr="00B3329E">
        <w:rPr>
          <w:rFonts w:ascii="Tahoma" w:hAnsi="Tahoma" w:cs="Tahoma"/>
          <w:color w:val="000000" w:themeColor="text1"/>
        </w:rPr>
        <w:t xml:space="preserve">and cannot be considered an asset class; </w:t>
      </w:r>
      <w:r w:rsidR="00DE0537" w:rsidRPr="00B3329E">
        <w:rPr>
          <w:rFonts w:ascii="Tahoma" w:hAnsi="Tahoma" w:cs="Tahoma"/>
          <w:color w:val="000000" w:themeColor="text1"/>
        </w:rPr>
        <w:t xml:space="preserve">and the third set </w:t>
      </w:r>
      <w:r w:rsidR="007A2B10" w:rsidRPr="00B3329E">
        <w:rPr>
          <w:rFonts w:ascii="Tahoma" w:hAnsi="Tahoma" w:cs="Tahoma"/>
          <w:color w:val="000000" w:themeColor="text1"/>
        </w:rPr>
        <w:t xml:space="preserve">finds that </w:t>
      </w:r>
      <w:r w:rsidR="008B4CC8" w:rsidRPr="00B3329E">
        <w:rPr>
          <w:rFonts w:ascii="Tahoma" w:hAnsi="Tahoma" w:cs="Tahoma"/>
          <w:color w:val="000000" w:themeColor="text1"/>
        </w:rPr>
        <w:t xml:space="preserve">listed </w:t>
      </w:r>
      <w:r w:rsidR="007A2B10" w:rsidRPr="00B3329E">
        <w:rPr>
          <w:rFonts w:ascii="Tahoma" w:hAnsi="Tahoma" w:cs="Tahoma"/>
          <w:color w:val="000000" w:themeColor="text1"/>
        </w:rPr>
        <w:t xml:space="preserve">infrastructure </w:t>
      </w:r>
      <w:r w:rsidR="008B4CC8" w:rsidRPr="00B3329E">
        <w:rPr>
          <w:rFonts w:ascii="Tahoma" w:hAnsi="Tahoma" w:cs="Tahoma"/>
          <w:color w:val="000000" w:themeColor="text1"/>
        </w:rPr>
        <w:t>is too heterogeneous to be considered an asset class as some parts do provide diversification whereas other parts do not.</w:t>
      </w:r>
    </w:p>
    <w:p w:rsidR="00EA6483" w:rsidRPr="00B3329E" w:rsidRDefault="00EA6483" w:rsidP="00EA6483">
      <w:pPr>
        <w:spacing w:after="0"/>
        <w:rPr>
          <w:rFonts w:ascii="Tahoma" w:hAnsi="Tahoma" w:cs="Tahoma"/>
          <w:color w:val="000000" w:themeColor="text1"/>
        </w:rPr>
      </w:pPr>
    </w:p>
    <w:p w:rsidR="00DE0537" w:rsidRPr="00B3329E" w:rsidRDefault="00DE0537" w:rsidP="00EA6483">
      <w:pPr>
        <w:spacing w:after="0"/>
        <w:rPr>
          <w:rFonts w:ascii="Tahoma" w:hAnsi="Tahoma" w:cs="Tahoma"/>
          <w:color w:val="000000" w:themeColor="text1"/>
        </w:rPr>
      </w:pPr>
      <w:r w:rsidRPr="00B3329E">
        <w:rPr>
          <w:rFonts w:ascii="Tahoma" w:hAnsi="Tahoma" w:cs="Tahoma"/>
          <w:color w:val="000000" w:themeColor="text1"/>
        </w:rPr>
        <w:t>A review of these studies p</w:t>
      </w:r>
      <w:r w:rsidR="00074BEE" w:rsidRPr="00B3329E">
        <w:rPr>
          <w:rFonts w:ascii="Tahoma" w:hAnsi="Tahoma" w:cs="Tahoma"/>
          <w:color w:val="000000" w:themeColor="text1"/>
        </w:rPr>
        <w:t>roves offers insights into how opinions</w:t>
      </w:r>
      <w:r w:rsidRPr="00B3329E">
        <w:rPr>
          <w:rFonts w:ascii="Tahoma" w:hAnsi="Tahoma" w:cs="Tahoma"/>
          <w:color w:val="000000" w:themeColor="text1"/>
        </w:rPr>
        <w:t xml:space="preserve"> o</w:t>
      </w:r>
      <w:r w:rsidR="00074BEE" w:rsidRPr="00B3329E">
        <w:rPr>
          <w:rFonts w:ascii="Tahoma" w:hAnsi="Tahoma" w:cs="Tahoma"/>
          <w:color w:val="000000" w:themeColor="text1"/>
        </w:rPr>
        <w:t>f</w:t>
      </w:r>
      <w:r w:rsidRPr="00B3329E">
        <w:rPr>
          <w:rFonts w:ascii="Tahoma" w:hAnsi="Tahoma" w:cs="Tahoma"/>
          <w:color w:val="000000" w:themeColor="text1"/>
        </w:rPr>
        <w:t xml:space="preserve"> listed infrastructure </w:t>
      </w:r>
      <w:r w:rsidR="003835A1" w:rsidRPr="00B3329E">
        <w:rPr>
          <w:rFonts w:ascii="Tahoma" w:hAnsi="Tahoma" w:cs="Tahoma"/>
          <w:color w:val="000000" w:themeColor="text1"/>
        </w:rPr>
        <w:t xml:space="preserve">have evolved over time, where the current thinking lies and what can be done to fill the gaps and improve the </w:t>
      </w:r>
      <w:r w:rsidR="00671BEC" w:rsidRPr="00B3329E">
        <w:rPr>
          <w:rFonts w:ascii="Tahoma" w:hAnsi="Tahoma" w:cs="Tahoma"/>
          <w:color w:val="000000" w:themeColor="text1"/>
        </w:rPr>
        <w:t xml:space="preserve">clarity of </w:t>
      </w:r>
      <w:r w:rsidR="003D4C80" w:rsidRPr="00B3329E">
        <w:rPr>
          <w:rFonts w:ascii="Tahoma" w:hAnsi="Tahoma" w:cs="Tahoma"/>
          <w:color w:val="000000" w:themeColor="text1"/>
        </w:rPr>
        <w:t>conclusions about its role as a diversifier.</w:t>
      </w:r>
    </w:p>
    <w:p w:rsidR="00BB45DA" w:rsidRPr="00B3329E" w:rsidRDefault="00BB45DA" w:rsidP="00EA6483">
      <w:pPr>
        <w:spacing w:after="0"/>
        <w:rPr>
          <w:rFonts w:ascii="Tahoma" w:hAnsi="Tahoma" w:cs="Tahoma"/>
          <w:color w:val="000000" w:themeColor="text1"/>
        </w:rPr>
      </w:pPr>
    </w:p>
    <w:p w:rsidR="003D4C80" w:rsidRPr="00B3329E" w:rsidRDefault="003D4C80" w:rsidP="00EA6483">
      <w:pPr>
        <w:spacing w:after="0"/>
        <w:rPr>
          <w:rFonts w:ascii="Tahoma" w:hAnsi="Tahoma" w:cs="Tahoma"/>
          <w:color w:val="000000" w:themeColor="text1"/>
        </w:rPr>
      </w:pPr>
    </w:p>
    <w:p w:rsidR="00E64173" w:rsidRPr="00B3329E" w:rsidRDefault="009E07CA" w:rsidP="00A426E5">
      <w:pPr>
        <w:pStyle w:val="2"/>
        <w:rPr>
          <w:rFonts w:cs="Tahoma"/>
          <w:color w:val="000000" w:themeColor="text1"/>
        </w:rPr>
      </w:pPr>
      <w:bookmarkStart w:id="8" w:name="_Toc523311339"/>
      <w:r w:rsidRPr="00B3329E">
        <w:rPr>
          <w:rFonts w:cs="Tahoma"/>
          <w:color w:val="000000" w:themeColor="text1"/>
        </w:rPr>
        <w:t xml:space="preserve">2.1. </w:t>
      </w:r>
      <w:r w:rsidR="004C2C63">
        <w:rPr>
          <w:rFonts w:cs="Tahoma"/>
          <w:color w:val="000000" w:themeColor="text1"/>
        </w:rPr>
        <w:t>Positive asset class and diversi</w:t>
      </w:r>
      <w:bookmarkEnd w:id="8"/>
      <w:r w:rsidR="004C2C63">
        <w:rPr>
          <w:rFonts w:cs="Tahoma"/>
          <w:color w:val="000000" w:themeColor="text1"/>
        </w:rPr>
        <w:t>fication findings</w:t>
      </w:r>
    </w:p>
    <w:p w:rsidR="00C44503" w:rsidRPr="00B3329E" w:rsidRDefault="00C44503" w:rsidP="00EA6483">
      <w:pPr>
        <w:spacing w:after="0"/>
        <w:rPr>
          <w:rFonts w:ascii="Tahoma" w:hAnsi="Tahoma" w:cs="Tahoma"/>
          <w:color w:val="000000" w:themeColor="text1"/>
        </w:rPr>
      </w:pPr>
    </w:p>
    <w:p w:rsidR="00AB55D5" w:rsidRPr="00B3329E" w:rsidRDefault="00BC06F5" w:rsidP="00EA6483">
      <w:pPr>
        <w:spacing w:after="0"/>
        <w:rPr>
          <w:rFonts w:ascii="Tahoma" w:hAnsi="Tahoma" w:cs="Tahoma"/>
          <w:color w:val="000000" w:themeColor="text1"/>
        </w:rPr>
      </w:pPr>
      <w:r w:rsidRPr="00B3329E">
        <w:rPr>
          <w:rFonts w:ascii="Tahoma" w:hAnsi="Tahoma" w:cs="Tahoma"/>
          <w:color w:val="000000" w:themeColor="text1"/>
        </w:rPr>
        <w:t xml:space="preserve">The </w:t>
      </w:r>
      <w:r w:rsidR="003D4C80" w:rsidRPr="00B3329E">
        <w:rPr>
          <w:rFonts w:ascii="Tahoma" w:hAnsi="Tahoma" w:cs="Tahoma"/>
          <w:color w:val="000000" w:themeColor="text1"/>
        </w:rPr>
        <w:t>idea of</w:t>
      </w:r>
      <w:r w:rsidRPr="00B3329E">
        <w:rPr>
          <w:rFonts w:ascii="Tahoma" w:hAnsi="Tahoma" w:cs="Tahoma"/>
          <w:color w:val="000000" w:themeColor="text1"/>
        </w:rPr>
        <w:t xml:space="preserve"> listed infrastructure </w:t>
      </w:r>
      <w:r w:rsidR="003D4C80" w:rsidRPr="00B3329E">
        <w:rPr>
          <w:rFonts w:ascii="Tahoma" w:hAnsi="Tahoma" w:cs="Tahoma"/>
          <w:color w:val="000000" w:themeColor="text1"/>
        </w:rPr>
        <w:t xml:space="preserve">as </w:t>
      </w:r>
      <w:r w:rsidRPr="00B3329E">
        <w:rPr>
          <w:rFonts w:ascii="Tahoma" w:hAnsi="Tahoma" w:cs="Tahoma"/>
          <w:color w:val="000000" w:themeColor="text1"/>
        </w:rPr>
        <w:t xml:space="preserve">a standalone asset class is </w:t>
      </w:r>
      <w:r w:rsidR="004B6A48" w:rsidRPr="00B3329E">
        <w:rPr>
          <w:rFonts w:ascii="Tahoma" w:hAnsi="Tahoma" w:cs="Tahoma"/>
          <w:color w:val="000000" w:themeColor="text1"/>
        </w:rPr>
        <w:t>fairly new so there aren’t any academic studies prior to the 2000s.</w:t>
      </w:r>
      <w:r w:rsidR="00074BEE" w:rsidRPr="00B3329E">
        <w:rPr>
          <w:rFonts w:ascii="Tahoma" w:hAnsi="Tahoma" w:cs="Tahoma"/>
          <w:color w:val="000000" w:themeColor="text1"/>
        </w:rPr>
        <w:t xml:space="preserve">  </w:t>
      </w:r>
      <w:r w:rsidR="00112EBC" w:rsidRPr="00B3329E">
        <w:rPr>
          <w:rFonts w:ascii="Tahoma" w:hAnsi="Tahoma" w:cs="Tahoma"/>
          <w:color w:val="000000" w:themeColor="text1"/>
        </w:rPr>
        <w:t>Newell</w:t>
      </w:r>
      <w:r w:rsidR="00612D4A" w:rsidRPr="00B3329E">
        <w:rPr>
          <w:rFonts w:ascii="Tahoma" w:hAnsi="Tahoma" w:cs="Tahoma"/>
          <w:color w:val="000000" w:themeColor="text1"/>
        </w:rPr>
        <w:t xml:space="preserve"> and Peng</w:t>
      </w:r>
      <w:r w:rsidR="00B42F00" w:rsidRPr="00B3329E">
        <w:rPr>
          <w:rFonts w:ascii="Tahoma" w:hAnsi="Tahoma" w:cs="Tahoma"/>
          <w:color w:val="000000" w:themeColor="text1"/>
        </w:rPr>
        <w:t xml:space="preserve"> conducted some of the earliest </w:t>
      </w:r>
      <w:r w:rsidR="00112EBC" w:rsidRPr="00B3329E">
        <w:rPr>
          <w:rFonts w:ascii="Tahoma" w:hAnsi="Tahoma" w:cs="Tahoma"/>
          <w:color w:val="000000" w:themeColor="text1"/>
        </w:rPr>
        <w:t>academic studies cover</w:t>
      </w:r>
      <w:r w:rsidR="003D4C80" w:rsidRPr="00B3329E">
        <w:rPr>
          <w:rFonts w:ascii="Tahoma" w:hAnsi="Tahoma" w:cs="Tahoma"/>
          <w:color w:val="000000" w:themeColor="text1"/>
        </w:rPr>
        <w:t>ing</w:t>
      </w:r>
      <w:r w:rsidR="00112EBC" w:rsidRPr="00B3329E">
        <w:rPr>
          <w:rFonts w:ascii="Tahoma" w:hAnsi="Tahoma" w:cs="Tahoma"/>
          <w:color w:val="000000" w:themeColor="text1"/>
        </w:rPr>
        <w:t xml:space="preserve"> various regions and time periods</w:t>
      </w:r>
      <w:r w:rsidR="00B42F00" w:rsidRPr="00B3329E">
        <w:rPr>
          <w:rFonts w:ascii="Tahoma" w:hAnsi="Tahoma" w:cs="Tahoma"/>
          <w:color w:val="000000" w:themeColor="text1"/>
        </w:rPr>
        <w:t>.</w:t>
      </w:r>
      <w:r w:rsidR="00112EBC" w:rsidRPr="00B3329E">
        <w:rPr>
          <w:rFonts w:ascii="Tahoma" w:hAnsi="Tahoma" w:cs="Tahoma"/>
          <w:color w:val="000000" w:themeColor="text1"/>
        </w:rPr>
        <w:t xml:space="preserve">  </w:t>
      </w:r>
      <w:r w:rsidR="006F0496">
        <w:rPr>
          <w:rFonts w:ascii="Tahoma" w:hAnsi="Tahoma" w:cs="Tahoma"/>
          <w:color w:val="000000" w:themeColor="text1"/>
        </w:rPr>
        <w:t xml:space="preserve"> They found</w:t>
      </w:r>
      <w:r w:rsidR="006F0496" w:rsidRPr="00B3329E">
        <w:rPr>
          <w:rFonts w:ascii="Tahoma" w:hAnsi="Tahoma" w:cs="Tahoma"/>
          <w:color w:val="000000" w:themeColor="text1"/>
        </w:rPr>
        <w:t xml:space="preserve"> low equity market correlation and high correlation between the infrastructure sub-sectors indicating that it is indeed an asset class </w:t>
      </w:r>
      <w:r w:rsidR="006F0496">
        <w:rPr>
          <w:rFonts w:ascii="Tahoma" w:hAnsi="Tahoma" w:cs="Tahoma"/>
          <w:color w:val="000000" w:themeColor="text1"/>
        </w:rPr>
        <w:t xml:space="preserve">for their studies of both US and Australian listed infrastructure </w:t>
      </w:r>
      <w:r w:rsidR="001925C1" w:rsidRPr="00B3329E">
        <w:rPr>
          <w:rFonts w:ascii="Tahoma" w:hAnsi="Tahoma" w:cs="Tahoma"/>
          <w:color w:val="000000" w:themeColor="text1"/>
        </w:rPr>
        <w:t xml:space="preserve">Newell </w:t>
      </w:r>
      <w:r w:rsidR="00AB55D5" w:rsidRPr="00B3329E">
        <w:rPr>
          <w:rFonts w:ascii="Tahoma" w:hAnsi="Tahoma" w:cs="Tahoma"/>
          <w:color w:val="000000" w:themeColor="text1"/>
        </w:rPr>
        <w:t>and Peng’s</w:t>
      </w:r>
      <w:r w:rsidR="001925C1" w:rsidRPr="00B3329E">
        <w:rPr>
          <w:rFonts w:ascii="Tahoma" w:hAnsi="Tahoma" w:cs="Tahoma"/>
          <w:color w:val="000000" w:themeColor="text1"/>
        </w:rPr>
        <w:t xml:space="preserve"> (20</w:t>
      </w:r>
      <w:r w:rsidR="00FE7FAC" w:rsidRPr="00B3329E">
        <w:rPr>
          <w:rFonts w:ascii="Tahoma" w:hAnsi="Tahoma" w:cs="Tahoma"/>
          <w:color w:val="000000" w:themeColor="text1"/>
        </w:rPr>
        <w:t>07</w:t>
      </w:r>
      <w:r w:rsidR="006F0496">
        <w:rPr>
          <w:rFonts w:ascii="Tahoma" w:hAnsi="Tahoma" w:cs="Tahoma"/>
          <w:color w:val="000000" w:themeColor="text1"/>
        </w:rPr>
        <w:t>, 2008</w:t>
      </w:r>
      <w:r w:rsidR="001925C1" w:rsidRPr="00B3329E">
        <w:rPr>
          <w:rFonts w:ascii="Tahoma" w:hAnsi="Tahoma" w:cs="Tahoma"/>
          <w:color w:val="000000" w:themeColor="text1"/>
        </w:rPr>
        <w:t>)</w:t>
      </w:r>
      <w:r w:rsidR="006F0496">
        <w:rPr>
          <w:rFonts w:ascii="Tahoma" w:hAnsi="Tahoma" w:cs="Tahoma"/>
          <w:color w:val="000000" w:themeColor="text1"/>
        </w:rPr>
        <w:t xml:space="preserve">.However, </w:t>
      </w:r>
      <w:r w:rsidR="001A7E13" w:rsidRPr="00B3329E">
        <w:rPr>
          <w:rFonts w:ascii="Tahoma" w:hAnsi="Tahoma" w:cs="Tahoma"/>
          <w:color w:val="000000" w:themeColor="text1"/>
        </w:rPr>
        <w:t xml:space="preserve">neither study includes the </w:t>
      </w:r>
      <w:r w:rsidR="00AB55D5" w:rsidRPr="00B3329E">
        <w:rPr>
          <w:rFonts w:ascii="Tahoma" w:hAnsi="Tahoma" w:cs="Tahoma"/>
          <w:color w:val="000000" w:themeColor="text1"/>
        </w:rPr>
        <w:t xml:space="preserve">GFC </w:t>
      </w:r>
      <w:r w:rsidR="00DE0537" w:rsidRPr="00B3329E">
        <w:rPr>
          <w:rFonts w:ascii="Tahoma" w:hAnsi="Tahoma" w:cs="Tahoma"/>
          <w:color w:val="000000" w:themeColor="text1"/>
        </w:rPr>
        <w:t>period so seem</w:t>
      </w:r>
      <w:r w:rsidR="00951B94" w:rsidRPr="00B3329E">
        <w:rPr>
          <w:rFonts w:ascii="Tahoma" w:hAnsi="Tahoma" w:cs="Tahoma"/>
          <w:color w:val="000000" w:themeColor="text1"/>
        </w:rPr>
        <w:t>s</w:t>
      </w:r>
      <w:r w:rsidR="00DE0537" w:rsidRPr="00B3329E">
        <w:rPr>
          <w:rFonts w:ascii="Tahoma" w:hAnsi="Tahoma" w:cs="Tahoma"/>
          <w:color w:val="000000" w:themeColor="text1"/>
        </w:rPr>
        <w:t xml:space="preserve"> incomplete relative to later studies.  </w:t>
      </w:r>
    </w:p>
    <w:p w:rsidR="00AB55D5" w:rsidRPr="00B3329E" w:rsidRDefault="00AB55D5" w:rsidP="00EA6483">
      <w:pPr>
        <w:spacing w:after="0"/>
        <w:rPr>
          <w:rFonts w:ascii="Tahoma" w:hAnsi="Tahoma" w:cs="Tahoma"/>
          <w:color w:val="000000" w:themeColor="text1"/>
        </w:rPr>
      </w:pPr>
    </w:p>
    <w:p w:rsidR="006251F2" w:rsidRPr="00B3329E" w:rsidRDefault="003835A1" w:rsidP="00EA6483">
      <w:pPr>
        <w:spacing w:after="0"/>
        <w:rPr>
          <w:rFonts w:ascii="Tahoma" w:hAnsi="Tahoma" w:cs="Tahoma"/>
          <w:color w:val="000000" w:themeColor="text1"/>
        </w:rPr>
      </w:pPr>
      <w:r w:rsidRPr="00B3329E">
        <w:rPr>
          <w:rFonts w:ascii="Tahoma" w:hAnsi="Tahoma" w:cs="Tahoma"/>
          <w:color w:val="000000" w:themeColor="text1"/>
        </w:rPr>
        <w:t xml:space="preserve">Dechant </w:t>
      </w:r>
      <w:r w:rsidR="006251F2" w:rsidRPr="00B3329E">
        <w:rPr>
          <w:rFonts w:ascii="Tahoma" w:hAnsi="Tahoma" w:cs="Tahoma"/>
          <w:color w:val="000000" w:themeColor="text1"/>
        </w:rPr>
        <w:t>et al (2010)</w:t>
      </w:r>
      <w:r w:rsidRPr="00B3329E">
        <w:rPr>
          <w:rFonts w:ascii="Tahoma" w:hAnsi="Tahoma" w:cs="Tahoma"/>
          <w:color w:val="000000" w:themeColor="text1"/>
        </w:rPr>
        <w:t xml:space="preserve"> </w:t>
      </w:r>
      <w:r w:rsidR="00315D82" w:rsidRPr="00B3329E">
        <w:rPr>
          <w:rFonts w:ascii="Tahoma" w:hAnsi="Tahoma" w:cs="Tahoma"/>
          <w:color w:val="000000" w:themeColor="text1"/>
        </w:rPr>
        <w:t>followed up with a late</w:t>
      </w:r>
      <w:r w:rsidR="00B87204" w:rsidRPr="00B3329E">
        <w:rPr>
          <w:rFonts w:ascii="Tahoma" w:hAnsi="Tahoma" w:cs="Tahoma"/>
          <w:color w:val="000000" w:themeColor="text1"/>
        </w:rPr>
        <w:t>r</w:t>
      </w:r>
      <w:r w:rsidR="00315D82" w:rsidRPr="00B3329E">
        <w:rPr>
          <w:rFonts w:ascii="Tahoma" w:hAnsi="Tahoma" w:cs="Tahoma"/>
          <w:color w:val="000000" w:themeColor="text1"/>
        </w:rPr>
        <w:t xml:space="preserve"> </w:t>
      </w:r>
      <w:r w:rsidRPr="00B3329E">
        <w:rPr>
          <w:rFonts w:ascii="Tahoma" w:hAnsi="Tahoma" w:cs="Tahoma"/>
          <w:color w:val="000000" w:themeColor="text1"/>
        </w:rPr>
        <w:t>diversification study on Australian listed infrastructure that did incorporate the GFC</w:t>
      </w:r>
      <w:r w:rsidR="00C663BB" w:rsidRPr="00B3329E">
        <w:rPr>
          <w:rFonts w:ascii="Tahoma" w:hAnsi="Tahoma" w:cs="Tahoma"/>
          <w:color w:val="000000" w:themeColor="text1"/>
        </w:rPr>
        <w:t xml:space="preserve"> and</w:t>
      </w:r>
      <w:r w:rsidRPr="00B3329E">
        <w:rPr>
          <w:rFonts w:ascii="Tahoma" w:hAnsi="Tahoma" w:cs="Tahoma"/>
          <w:color w:val="000000" w:themeColor="text1"/>
        </w:rPr>
        <w:t xml:space="preserve"> also</w:t>
      </w:r>
      <w:r w:rsidR="00FF4732" w:rsidRPr="00B3329E">
        <w:rPr>
          <w:rFonts w:ascii="Tahoma" w:hAnsi="Tahoma" w:cs="Tahoma"/>
          <w:color w:val="000000" w:themeColor="text1"/>
        </w:rPr>
        <w:t xml:space="preserve"> found </w:t>
      </w:r>
      <w:r w:rsidR="00A37214" w:rsidRPr="00B3329E">
        <w:rPr>
          <w:rFonts w:ascii="Tahoma" w:hAnsi="Tahoma" w:cs="Tahoma"/>
          <w:color w:val="000000" w:themeColor="text1"/>
        </w:rPr>
        <w:t xml:space="preserve">similarly low correlation to equities, </w:t>
      </w:r>
      <w:r w:rsidR="0097020D" w:rsidRPr="00B3329E">
        <w:rPr>
          <w:rFonts w:ascii="Tahoma" w:hAnsi="Tahoma" w:cs="Tahoma"/>
          <w:color w:val="000000" w:themeColor="text1"/>
        </w:rPr>
        <w:t>which they use as the ba</w:t>
      </w:r>
      <w:r w:rsidRPr="00B3329E">
        <w:rPr>
          <w:rFonts w:ascii="Tahoma" w:hAnsi="Tahoma" w:cs="Tahoma"/>
          <w:color w:val="000000" w:themeColor="text1"/>
        </w:rPr>
        <w:t>s</w:t>
      </w:r>
      <w:r w:rsidR="0097020D" w:rsidRPr="00B3329E">
        <w:rPr>
          <w:rFonts w:ascii="Tahoma" w:hAnsi="Tahoma" w:cs="Tahoma"/>
          <w:color w:val="000000" w:themeColor="text1"/>
        </w:rPr>
        <w:t>i</w:t>
      </w:r>
      <w:r w:rsidRPr="00B3329E">
        <w:rPr>
          <w:rFonts w:ascii="Tahoma" w:hAnsi="Tahoma" w:cs="Tahoma"/>
          <w:color w:val="000000" w:themeColor="text1"/>
        </w:rPr>
        <w:t>s for arguing that it is a distinct asset class.  However, they note that during the GFC,</w:t>
      </w:r>
      <w:r w:rsidR="00FF4732" w:rsidRPr="00B3329E">
        <w:rPr>
          <w:rFonts w:ascii="Tahoma" w:hAnsi="Tahoma" w:cs="Tahoma"/>
          <w:color w:val="000000" w:themeColor="text1"/>
        </w:rPr>
        <w:t xml:space="preserve"> </w:t>
      </w:r>
      <w:r w:rsidRPr="00B3329E">
        <w:rPr>
          <w:rFonts w:ascii="Tahoma" w:hAnsi="Tahoma" w:cs="Tahoma"/>
          <w:color w:val="000000" w:themeColor="text1"/>
        </w:rPr>
        <w:t>equity market correlation increased</w:t>
      </w:r>
      <w:r w:rsidR="0097020D" w:rsidRPr="00B3329E">
        <w:rPr>
          <w:rFonts w:ascii="Tahoma" w:hAnsi="Tahoma" w:cs="Tahoma"/>
          <w:color w:val="000000" w:themeColor="text1"/>
        </w:rPr>
        <w:t xml:space="preserve"> and remained at elevated levels</w:t>
      </w:r>
      <w:r w:rsidR="00315D82" w:rsidRPr="00B3329E">
        <w:rPr>
          <w:rFonts w:ascii="Tahoma" w:hAnsi="Tahoma" w:cs="Tahoma"/>
          <w:color w:val="000000" w:themeColor="text1"/>
        </w:rPr>
        <w:t xml:space="preserve">. </w:t>
      </w:r>
      <w:r w:rsidR="00A37214" w:rsidRPr="00B3329E">
        <w:rPr>
          <w:rFonts w:ascii="Tahoma" w:hAnsi="Tahoma" w:cs="Tahoma"/>
          <w:color w:val="000000" w:themeColor="text1"/>
        </w:rPr>
        <w:t xml:space="preserve"> </w:t>
      </w:r>
      <w:r w:rsidR="003D4C80" w:rsidRPr="00B3329E">
        <w:rPr>
          <w:rFonts w:ascii="Tahoma" w:hAnsi="Tahoma" w:cs="Tahoma"/>
          <w:color w:val="000000" w:themeColor="text1"/>
        </w:rPr>
        <w:t xml:space="preserve">This finding highlights the important point that correlations may not be constant over time. During the GFC, an </w:t>
      </w:r>
      <w:r w:rsidR="00315D82" w:rsidRPr="00B3329E">
        <w:rPr>
          <w:rFonts w:ascii="Tahoma" w:hAnsi="Tahoma" w:cs="Tahoma"/>
          <w:color w:val="000000" w:themeColor="text1"/>
        </w:rPr>
        <w:t>increase in equity market correlation was widespread across asset clas</w:t>
      </w:r>
      <w:r w:rsidR="003D4C80" w:rsidRPr="00B3329E">
        <w:rPr>
          <w:rFonts w:ascii="Tahoma" w:hAnsi="Tahoma" w:cs="Tahoma"/>
          <w:color w:val="000000" w:themeColor="text1"/>
        </w:rPr>
        <w:t xml:space="preserve">ses </w:t>
      </w:r>
      <w:r w:rsidR="00315D82" w:rsidRPr="00B3329E">
        <w:rPr>
          <w:rFonts w:ascii="Tahoma" w:hAnsi="Tahoma" w:cs="Tahoma"/>
          <w:color w:val="000000" w:themeColor="text1"/>
        </w:rPr>
        <w:t>and led to many studies challenging modern portfolio theory and the perceived benefit of diversification</w:t>
      </w:r>
      <w:r w:rsidR="003D4C80" w:rsidRPr="00B3329E">
        <w:rPr>
          <w:rFonts w:ascii="Tahoma" w:hAnsi="Tahoma" w:cs="Tahoma"/>
          <w:color w:val="000000" w:themeColor="text1"/>
        </w:rPr>
        <w:t xml:space="preserve"> (Asness, 2011)</w:t>
      </w:r>
      <w:r w:rsidR="00A37214" w:rsidRPr="00B3329E">
        <w:rPr>
          <w:rFonts w:ascii="Tahoma" w:hAnsi="Tahoma" w:cs="Tahoma"/>
          <w:color w:val="000000" w:themeColor="text1"/>
        </w:rPr>
        <w:t xml:space="preserve">.  </w:t>
      </w:r>
    </w:p>
    <w:p w:rsidR="00F457C3" w:rsidRPr="00B3329E" w:rsidRDefault="00F457C3" w:rsidP="00EA6483">
      <w:pPr>
        <w:spacing w:after="0"/>
        <w:rPr>
          <w:rFonts w:ascii="Tahoma" w:hAnsi="Tahoma" w:cs="Tahoma"/>
          <w:color w:val="000000" w:themeColor="text1"/>
        </w:rPr>
      </w:pPr>
    </w:p>
    <w:p w:rsidR="00303AE7" w:rsidRPr="00B3329E" w:rsidRDefault="00303AE7" w:rsidP="00EA6483">
      <w:pPr>
        <w:spacing w:after="0"/>
        <w:rPr>
          <w:rFonts w:ascii="Tahoma" w:hAnsi="Tahoma" w:cs="Tahoma"/>
          <w:color w:val="000000" w:themeColor="text1"/>
        </w:rPr>
      </w:pPr>
    </w:p>
    <w:p w:rsidR="003126F2" w:rsidRPr="00B3329E" w:rsidRDefault="00303AE7" w:rsidP="00EA6483">
      <w:pPr>
        <w:spacing w:after="0"/>
        <w:rPr>
          <w:rFonts w:ascii="Tahoma" w:hAnsi="Tahoma" w:cs="Tahoma"/>
          <w:color w:val="000000" w:themeColor="text1"/>
        </w:rPr>
      </w:pPr>
      <w:r w:rsidRPr="00B3329E">
        <w:rPr>
          <w:rFonts w:ascii="Tahoma" w:hAnsi="Tahoma" w:cs="Tahoma"/>
          <w:color w:val="000000" w:themeColor="text1"/>
        </w:rPr>
        <w:lastRenderedPageBreak/>
        <w:t>Russ et al’s (2010) study of global infrastructure returns from 2000-2010 identified low correlation with US equities, but high correlation with non-US equities, 0.44 and 0.83, respectively.  Their finding that listed infrastructure diversification varies across equity regions highlights the influence that regional focus may have on t</w:t>
      </w:r>
      <w:r w:rsidR="003D4DE9" w:rsidRPr="00B3329E">
        <w:rPr>
          <w:rFonts w:ascii="Tahoma" w:hAnsi="Tahoma" w:cs="Tahoma"/>
          <w:color w:val="000000" w:themeColor="text1"/>
        </w:rPr>
        <w:t>he results found across empirical studies.  Heston and Rouwenhorst</w:t>
      </w:r>
      <w:r w:rsidR="00CA2C73" w:rsidRPr="00B3329E">
        <w:rPr>
          <w:rFonts w:ascii="Tahoma" w:hAnsi="Tahoma" w:cs="Tahoma"/>
          <w:color w:val="000000" w:themeColor="text1"/>
        </w:rPr>
        <w:t xml:space="preserve"> (1995) </w:t>
      </w:r>
      <w:r w:rsidR="003D4DE9" w:rsidRPr="00B3329E">
        <w:rPr>
          <w:rFonts w:ascii="Tahoma" w:hAnsi="Tahoma" w:cs="Tahoma"/>
          <w:color w:val="000000" w:themeColor="text1"/>
        </w:rPr>
        <w:t>explored this from a wider equity market perspective by analysing</w:t>
      </w:r>
      <w:r w:rsidR="00CA2C73" w:rsidRPr="00B3329E">
        <w:rPr>
          <w:rFonts w:ascii="Tahoma" w:hAnsi="Tahoma" w:cs="Tahoma"/>
          <w:color w:val="000000" w:themeColor="text1"/>
        </w:rPr>
        <w:t xml:space="preserve"> 12 European countries’ equity markets between 1978 and 1992 </w:t>
      </w:r>
      <w:r w:rsidR="003D4DE9" w:rsidRPr="00B3329E">
        <w:rPr>
          <w:rFonts w:ascii="Tahoma" w:hAnsi="Tahoma" w:cs="Tahoma"/>
          <w:color w:val="000000" w:themeColor="text1"/>
        </w:rPr>
        <w:t xml:space="preserve">and a </w:t>
      </w:r>
      <w:r w:rsidR="00CA2C73" w:rsidRPr="00B3329E">
        <w:rPr>
          <w:rFonts w:ascii="Tahoma" w:hAnsi="Tahoma" w:cs="Tahoma"/>
          <w:color w:val="000000" w:themeColor="text1"/>
        </w:rPr>
        <w:t xml:space="preserve">found </w:t>
      </w:r>
      <w:r w:rsidR="00F64CF4" w:rsidRPr="00B3329E">
        <w:rPr>
          <w:rFonts w:ascii="Tahoma" w:hAnsi="Tahoma" w:cs="Tahoma"/>
          <w:color w:val="000000" w:themeColor="text1"/>
        </w:rPr>
        <w:t xml:space="preserve">stronger diversification effect </w:t>
      </w:r>
      <w:r w:rsidR="003D4DE9" w:rsidRPr="00B3329E">
        <w:rPr>
          <w:rFonts w:ascii="Tahoma" w:hAnsi="Tahoma" w:cs="Tahoma"/>
          <w:color w:val="000000" w:themeColor="text1"/>
        </w:rPr>
        <w:t xml:space="preserve">came </w:t>
      </w:r>
      <w:r w:rsidR="00F64CF4" w:rsidRPr="00B3329E">
        <w:rPr>
          <w:rFonts w:ascii="Tahoma" w:hAnsi="Tahoma" w:cs="Tahoma"/>
          <w:color w:val="000000" w:themeColor="text1"/>
        </w:rPr>
        <w:t xml:space="preserve">from country exposures than sector exposures.  </w:t>
      </w:r>
      <w:r w:rsidR="00CA2C73" w:rsidRPr="00B3329E">
        <w:rPr>
          <w:rFonts w:ascii="Tahoma" w:hAnsi="Tahoma" w:cs="Tahoma"/>
          <w:color w:val="000000" w:themeColor="text1"/>
        </w:rPr>
        <w:t>Therefore, listed infrastructure’s diversification potential may vary d</w:t>
      </w:r>
      <w:r w:rsidR="003D4DE9" w:rsidRPr="00B3329E">
        <w:rPr>
          <w:rFonts w:ascii="Tahoma" w:hAnsi="Tahoma" w:cs="Tahoma"/>
          <w:color w:val="000000" w:themeColor="text1"/>
        </w:rPr>
        <w:t>epending on an investor’s</w:t>
      </w:r>
      <w:r w:rsidR="00CA2C73" w:rsidRPr="00B3329E">
        <w:rPr>
          <w:rFonts w:ascii="Tahoma" w:hAnsi="Tahoma" w:cs="Tahoma"/>
          <w:color w:val="000000" w:themeColor="text1"/>
        </w:rPr>
        <w:t xml:space="preserve"> </w:t>
      </w:r>
      <w:r w:rsidR="003D4DE9" w:rsidRPr="00B3329E">
        <w:rPr>
          <w:rFonts w:ascii="Tahoma" w:hAnsi="Tahoma" w:cs="Tahoma"/>
          <w:color w:val="000000" w:themeColor="text1"/>
        </w:rPr>
        <w:t xml:space="preserve">existing </w:t>
      </w:r>
      <w:r w:rsidR="00CA2C73" w:rsidRPr="00B3329E">
        <w:rPr>
          <w:rFonts w:ascii="Tahoma" w:hAnsi="Tahoma" w:cs="Tahoma"/>
          <w:color w:val="000000" w:themeColor="text1"/>
        </w:rPr>
        <w:t>regional exposure</w:t>
      </w:r>
      <w:r w:rsidR="00F64CF4" w:rsidRPr="00B3329E">
        <w:rPr>
          <w:rFonts w:ascii="Tahoma" w:hAnsi="Tahoma" w:cs="Tahoma"/>
          <w:color w:val="000000" w:themeColor="text1"/>
        </w:rPr>
        <w:t xml:space="preserve"> and </w:t>
      </w:r>
      <w:r w:rsidR="003D4DE9" w:rsidRPr="00B3329E">
        <w:rPr>
          <w:rFonts w:ascii="Tahoma" w:hAnsi="Tahoma" w:cs="Tahoma"/>
          <w:color w:val="000000" w:themeColor="text1"/>
        </w:rPr>
        <w:t>the similarity it has with</w:t>
      </w:r>
      <w:r w:rsidR="00F64CF4" w:rsidRPr="00B3329E">
        <w:rPr>
          <w:rFonts w:ascii="Tahoma" w:hAnsi="Tahoma" w:cs="Tahoma"/>
          <w:color w:val="000000" w:themeColor="text1"/>
        </w:rPr>
        <w:t xml:space="preserve"> the regional exposure </w:t>
      </w:r>
      <w:r w:rsidR="003D4DE9" w:rsidRPr="00B3329E">
        <w:rPr>
          <w:rFonts w:ascii="Tahoma" w:hAnsi="Tahoma" w:cs="Tahoma"/>
          <w:color w:val="000000" w:themeColor="text1"/>
        </w:rPr>
        <w:t>inherent in a</w:t>
      </w:r>
      <w:r w:rsidR="00F64CF4" w:rsidRPr="00B3329E">
        <w:rPr>
          <w:rFonts w:ascii="Tahoma" w:hAnsi="Tahoma" w:cs="Tahoma"/>
          <w:color w:val="000000" w:themeColor="text1"/>
        </w:rPr>
        <w:t xml:space="preserve"> listed infrastructure allocation</w:t>
      </w:r>
      <w:r w:rsidR="00CA2C73" w:rsidRPr="00B3329E">
        <w:rPr>
          <w:rFonts w:ascii="Tahoma" w:hAnsi="Tahoma" w:cs="Tahoma"/>
          <w:color w:val="000000" w:themeColor="text1"/>
        </w:rPr>
        <w:t>.</w:t>
      </w:r>
      <w:r w:rsidR="00DC6131" w:rsidRPr="00B3329E">
        <w:rPr>
          <w:rFonts w:ascii="Tahoma" w:hAnsi="Tahoma" w:cs="Tahoma"/>
          <w:color w:val="000000" w:themeColor="text1"/>
        </w:rPr>
        <w:t xml:space="preserve">  </w:t>
      </w:r>
    </w:p>
    <w:p w:rsidR="00EA6483" w:rsidRPr="00B3329E" w:rsidRDefault="00EA6483" w:rsidP="00EA6483">
      <w:pPr>
        <w:spacing w:after="0"/>
        <w:rPr>
          <w:rFonts w:ascii="Tahoma" w:hAnsi="Tahoma" w:cs="Tahoma"/>
          <w:color w:val="000000" w:themeColor="text1"/>
        </w:rPr>
      </w:pPr>
    </w:p>
    <w:p w:rsidR="00B46EB2" w:rsidRPr="00B3329E" w:rsidRDefault="00DC6131" w:rsidP="00EA6483">
      <w:pPr>
        <w:spacing w:after="0"/>
        <w:rPr>
          <w:rFonts w:ascii="Tahoma" w:hAnsi="Tahoma" w:cs="Tahoma"/>
          <w:color w:val="000000" w:themeColor="text1"/>
        </w:rPr>
      </w:pPr>
      <w:r w:rsidRPr="00B3329E">
        <w:rPr>
          <w:rFonts w:ascii="Tahoma" w:hAnsi="Tahoma" w:cs="Tahoma"/>
          <w:color w:val="000000" w:themeColor="text1"/>
        </w:rPr>
        <w:t xml:space="preserve">To overcome the impact of regional biases on results, later studies have taken a </w:t>
      </w:r>
      <w:r w:rsidR="003126F2" w:rsidRPr="00B3329E">
        <w:rPr>
          <w:rFonts w:ascii="Tahoma" w:hAnsi="Tahoma" w:cs="Tahoma"/>
          <w:color w:val="000000" w:themeColor="text1"/>
        </w:rPr>
        <w:t xml:space="preserve">broader </w:t>
      </w:r>
      <w:r w:rsidRPr="00B3329E">
        <w:rPr>
          <w:rFonts w:ascii="Tahoma" w:hAnsi="Tahoma" w:cs="Tahoma"/>
          <w:color w:val="000000" w:themeColor="text1"/>
        </w:rPr>
        <w:t xml:space="preserve">approach and analysed </w:t>
      </w:r>
      <w:r w:rsidR="001716C1" w:rsidRPr="00B3329E">
        <w:rPr>
          <w:rFonts w:ascii="Tahoma" w:hAnsi="Tahoma" w:cs="Tahoma"/>
          <w:color w:val="000000" w:themeColor="text1"/>
        </w:rPr>
        <w:t xml:space="preserve">listed infrastructure </w:t>
      </w:r>
      <w:r w:rsidR="003D4DE9" w:rsidRPr="00B3329E">
        <w:rPr>
          <w:rFonts w:ascii="Tahoma" w:hAnsi="Tahoma" w:cs="Tahoma"/>
          <w:color w:val="000000" w:themeColor="text1"/>
        </w:rPr>
        <w:t>from a global perspective</w:t>
      </w:r>
      <w:r w:rsidRPr="00B3329E">
        <w:rPr>
          <w:rFonts w:ascii="Tahoma" w:hAnsi="Tahoma" w:cs="Tahoma"/>
          <w:color w:val="000000" w:themeColor="text1"/>
        </w:rPr>
        <w:t>.</w:t>
      </w:r>
      <w:r w:rsidR="003126F2" w:rsidRPr="00B3329E">
        <w:rPr>
          <w:rFonts w:ascii="Tahoma" w:hAnsi="Tahoma" w:cs="Tahoma"/>
          <w:color w:val="000000" w:themeColor="text1"/>
        </w:rPr>
        <w:t xml:space="preserve"> </w:t>
      </w:r>
      <w:r w:rsidR="00365501" w:rsidRPr="00B3329E">
        <w:rPr>
          <w:rFonts w:ascii="Tahoma" w:hAnsi="Tahoma" w:cs="Tahoma"/>
          <w:color w:val="000000" w:themeColor="text1"/>
        </w:rPr>
        <w:t>Rot</w:t>
      </w:r>
      <w:r w:rsidR="0097020D" w:rsidRPr="00B3329E">
        <w:rPr>
          <w:rFonts w:ascii="Tahoma" w:hAnsi="Tahoma" w:cs="Tahoma"/>
          <w:color w:val="000000" w:themeColor="text1"/>
        </w:rPr>
        <w:t>hballer and Kaserer</w:t>
      </w:r>
      <w:r w:rsidR="006251F2" w:rsidRPr="00B3329E">
        <w:rPr>
          <w:rFonts w:ascii="Tahoma" w:hAnsi="Tahoma" w:cs="Tahoma"/>
          <w:color w:val="000000" w:themeColor="text1"/>
        </w:rPr>
        <w:t xml:space="preserve"> (2012)</w:t>
      </w:r>
      <w:r w:rsidR="00C663BB" w:rsidRPr="00B3329E">
        <w:rPr>
          <w:rFonts w:ascii="Tahoma" w:hAnsi="Tahoma" w:cs="Tahoma"/>
          <w:color w:val="000000" w:themeColor="text1"/>
        </w:rPr>
        <w:t xml:space="preserve"> </w:t>
      </w:r>
      <w:r w:rsidR="003126F2" w:rsidRPr="00B3329E">
        <w:rPr>
          <w:rFonts w:ascii="Tahoma" w:hAnsi="Tahoma" w:cs="Tahoma"/>
          <w:color w:val="000000" w:themeColor="text1"/>
        </w:rPr>
        <w:t xml:space="preserve">take </w:t>
      </w:r>
      <w:r w:rsidR="0005441D" w:rsidRPr="00B3329E">
        <w:rPr>
          <w:rFonts w:ascii="Tahoma" w:hAnsi="Tahoma" w:cs="Tahoma"/>
          <w:color w:val="000000" w:themeColor="text1"/>
        </w:rPr>
        <w:t>this approach in their study of</w:t>
      </w:r>
      <w:r w:rsidR="005E7B94" w:rsidRPr="00B3329E">
        <w:rPr>
          <w:rFonts w:ascii="Tahoma" w:hAnsi="Tahoma" w:cs="Tahoma"/>
          <w:color w:val="000000" w:themeColor="text1"/>
        </w:rPr>
        <w:t xml:space="preserve"> listed infrastructure</w:t>
      </w:r>
      <w:r w:rsidR="003126F2" w:rsidRPr="00B3329E">
        <w:rPr>
          <w:rFonts w:ascii="Tahoma" w:hAnsi="Tahoma" w:cs="Tahoma"/>
          <w:color w:val="000000" w:themeColor="text1"/>
        </w:rPr>
        <w:t xml:space="preserve"> that focuses </w:t>
      </w:r>
      <w:r w:rsidR="00442510" w:rsidRPr="00B3329E">
        <w:rPr>
          <w:rFonts w:ascii="Tahoma" w:hAnsi="Tahoma" w:cs="Tahoma"/>
          <w:color w:val="000000" w:themeColor="text1"/>
        </w:rPr>
        <w:t>whether it is a low risk investment relative to other equities</w:t>
      </w:r>
      <w:r w:rsidR="00C663BB" w:rsidRPr="00B3329E">
        <w:rPr>
          <w:rFonts w:ascii="Tahoma" w:hAnsi="Tahoma" w:cs="Tahoma"/>
          <w:color w:val="000000" w:themeColor="text1"/>
        </w:rPr>
        <w:t xml:space="preserve">. They find that </w:t>
      </w:r>
      <w:r w:rsidR="0005441D" w:rsidRPr="00B3329E">
        <w:rPr>
          <w:rFonts w:ascii="Tahoma" w:hAnsi="Tahoma" w:cs="Tahoma"/>
          <w:color w:val="000000" w:themeColor="text1"/>
        </w:rPr>
        <w:t>it is not low risk</w:t>
      </w:r>
      <w:r w:rsidR="001717A3" w:rsidRPr="00B3329E">
        <w:rPr>
          <w:rFonts w:ascii="Tahoma" w:hAnsi="Tahoma" w:cs="Tahoma"/>
          <w:color w:val="000000" w:themeColor="text1"/>
        </w:rPr>
        <w:t xml:space="preserve"> </w:t>
      </w:r>
      <w:r w:rsidR="0005441D" w:rsidRPr="00B3329E">
        <w:rPr>
          <w:rFonts w:ascii="Tahoma" w:hAnsi="Tahoma" w:cs="Tahoma"/>
          <w:color w:val="000000" w:themeColor="text1"/>
        </w:rPr>
        <w:t xml:space="preserve">but the </w:t>
      </w:r>
      <w:r w:rsidR="003126F2" w:rsidRPr="00B3329E">
        <w:rPr>
          <w:rFonts w:ascii="Tahoma" w:hAnsi="Tahoma" w:cs="Tahoma"/>
          <w:color w:val="000000" w:themeColor="text1"/>
        </w:rPr>
        <w:t>risk</w:t>
      </w:r>
      <w:r w:rsidR="001717A3" w:rsidRPr="00B3329E">
        <w:rPr>
          <w:rFonts w:ascii="Tahoma" w:hAnsi="Tahoma" w:cs="Tahoma"/>
          <w:color w:val="000000" w:themeColor="text1"/>
        </w:rPr>
        <w:t xml:space="preserve"> </w:t>
      </w:r>
      <w:r w:rsidR="003126F2" w:rsidRPr="00B3329E">
        <w:rPr>
          <w:rFonts w:ascii="Tahoma" w:hAnsi="Tahoma" w:cs="Tahoma"/>
          <w:color w:val="000000" w:themeColor="text1"/>
        </w:rPr>
        <w:t xml:space="preserve">cannot be explained by </w:t>
      </w:r>
      <w:r w:rsidR="0097020D" w:rsidRPr="00B3329E">
        <w:rPr>
          <w:rFonts w:ascii="Tahoma" w:hAnsi="Tahoma" w:cs="Tahoma"/>
          <w:color w:val="000000" w:themeColor="text1"/>
        </w:rPr>
        <w:t>market beta</w:t>
      </w:r>
      <w:r w:rsidR="003126F2" w:rsidRPr="00B3329E">
        <w:rPr>
          <w:rFonts w:ascii="Tahoma" w:hAnsi="Tahoma" w:cs="Tahoma"/>
          <w:color w:val="000000" w:themeColor="text1"/>
        </w:rPr>
        <w:t xml:space="preserve"> </w:t>
      </w:r>
      <w:r w:rsidR="008B264A" w:rsidRPr="00B3329E">
        <w:rPr>
          <w:rFonts w:ascii="Tahoma" w:hAnsi="Tahoma" w:cs="Tahoma"/>
          <w:color w:val="000000" w:themeColor="text1"/>
        </w:rPr>
        <w:t>as per</w:t>
      </w:r>
      <w:r w:rsidR="003126F2" w:rsidRPr="00B3329E">
        <w:rPr>
          <w:rFonts w:ascii="Tahoma" w:hAnsi="Tahoma" w:cs="Tahoma"/>
          <w:color w:val="000000" w:themeColor="text1"/>
        </w:rPr>
        <w:t xml:space="preserve"> the Capital Asset Pricing Model</w:t>
      </w:r>
      <w:r w:rsidR="0097020D" w:rsidRPr="00B3329E">
        <w:rPr>
          <w:rFonts w:ascii="Tahoma" w:hAnsi="Tahoma" w:cs="Tahoma"/>
          <w:color w:val="000000" w:themeColor="text1"/>
        </w:rPr>
        <w:t>, but i</w:t>
      </w:r>
      <w:r w:rsidR="003126F2" w:rsidRPr="00B3329E">
        <w:rPr>
          <w:rFonts w:ascii="Tahoma" w:hAnsi="Tahoma" w:cs="Tahoma"/>
          <w:color w:val="000000" w:themeColor="text1"/>
        </w:rPr>
        <w:t>nstead i</w:t>
      </w:r>
      <w:r w:rsidR="0097020D" w:rsidRPr="00B3329E">
        <w:rPr>
          <w:rFonts w:ascii="Tahoma" w:hAnsi="Tahoma" w:cs="Tahoma"/>
          <w:color w:val="000000" w:themeColor="text1"/>
        </w:rPr>
        <w:t xml:space="preserve">s </w:t>
      </w:r>
      <w:r w:rsidR="003126F2" w:rsidRPr="00B3329E">
        <w:rPr>
          <w:rFonts w:ascii="Tahoma" w:hAnsi="Tahoma" w:cs="Tahoma"/>
          <w:color w:val="000000" w:themeColor="text1"/>
        </w:rPr>
        <w:t xml:space="preserve">mostly </w:t>
      </w:r>
      <w:r w:rsidR="0097020D" w:rsidRPr="00B3329E">
        <w:rPr>
          <w:rFonts w:ascii="Tahoma" w:hAnsi="Tahoma" w:cs="Tahoma"/>
          <w:color w:val="000000" w:themeColor="text1"/>
        </w:rPr>
        <w:t>i</w:t>
      </w:r>
      <w:r w:rsidR="00C663BB" w:rsidRPr="00B3329E">
        <w:rPr>
          <w:rFonts w:ascii="Tahoma" w:hAnsi="Tahoma" w:cs="Tahoma"/>
          <w:color w:val="000000" w:themeColor="text1"/>
        </w:rPr>
        <w:t>diosyncratic risk</w:t>
      </w:r>
      <w:r w:rsidR="009238EF" w:rsidRPr="00B3329E">
        <w:rPr>
          <w:rFonts w:ascii="Tahoma" w:hAnsi="Tahoma" w:cs="Tahoma"/>
          <w:color w:val="000000" w:themeColor="text1"/>
        </w:rPr>
        <w:t xml:space="preserve"> thus</w:t>
      </w:r>
      <w:r w:rsidR="001716C1" w:rsidRPr="00B3329E">
        <w:rPr>
          <w:rFonts w:ascii="Tahoma" w:hAnsi="Tahoma" w:cs="Tahoma"/>
          <w:color w:val="000000" w:themeColor="text1"/>
        </w:rPr>
        <w:t xml:space="preserve"> </w:t>
      </w:r>
      <w:r w:rsidR="00C663BB" w:rsidRPr="00B3329E">
        <w:rPr>
          <w:rFonts w:ascii="Tahoma" w:hAnsi="Tahoma" w:cs="Tahoma"/>
          <w:color w:val="000000" w:themeColor="text1"/>
        </w:rPr>
        <w:t>indicat</w:t>
      </w:r>
      <w:r w:rsidR="009238EF" w:rsidRPr="00B3329E">
        <w:rPr>
          <w:rFonts w:ascii="Tahoma" w:hAnsi="Tahoma" w:cs="Tahoma"/>
          <w:color w:val="000000" w:themeColor="text1"/>
        </w:rPr>
        <w:t>ing</w:t>
      </w:r>
      <w:r w:rsidR="00781379" w:rsidRPr="00B3329E">
        <w:rPr>
          <w:rFonts w:ascii="Tahoma" w:hAnsi="Tahoma" w:cs="Tahoma"/>
          <w:color w:val="000000" w:themeColor="text1"/>
        </w:rPr>
        <w:t xml:space="preserve"> </w:t>
      </w:r>
      <w:r w:rsidR="00C663BB" w:rsidRPr="00B3329E">
        <w:rPr>
          <w:rFonts w:ascii="Tahoma" w:hAnsi="Tahoma" w:cs="Tahoma"/>
          <w:color w:val="000000" w:themeColor="text1"/>
        </w:rPr>
        <w:t xml:space="preserve">low </w:t>
      </w:r>
      <w:r w:rsidR="003126F2" w:rsidRPr="00B3329E">
        <w:rPr>
          <w:rFonts w:ascii="Tahoma" w:hAnsi="Tahoma" w:cs="Tahoma"/>
          <w:color w:val="000000" w:themeColor="text1"/>
        </w:rPr>
        <w:t xml:space="preserve">equity market </w:t>
      </w:r>
      <w:r w:rsidR="00C663BB" w:rsidRPr="00B3329E">
        <w:rPr>
          <w:rFonts w:ascii="Tahoma" w:hAnsi="Tahoma" w:cs="Tahoma"/>
          <w:color w:val="000000" w:themeColor="text1"/>
        </w:rPr>
        <w:t>correlation</w:t>
      </w:r>
      <w:r w:rsidR="009238EF" w:rsidRPr="00B3329E">
        <w:rPr>
          <w:rFonts w:ascii="Tahoma" w:hAnsi="Tahoma" w:cs="Tahoma"/>
          <w:color w:val="000000" w:themeColor="text1"/>
        </w:rPr>
        <w:t>.</w:t>
      </w:r>
      <w:r w:rsidR="00781379" w:rsidRPr="00B3329E">
        <w:rPr>
          <w:rFonts w:ascii="Tahoma" w:hAnsi="Tahoma" w:cs="Tahoma"/>
          <w:color w:val="000000" w:themeColor="text1"/>
        </w:rPr>
        <w:t xml:space="preserve"> Another important finding from this study is </w:t>
      </w:r>
      <w:r w:rsidR="001717A3" w:rsidRPr="00B3329E">
        <w:rPr>
          <w:rFonts w:ascii="Tahoma" w:hAnsi="Tahoma" w:cs="Tahoma"/>
          <w:color w:val="000000" w:themeColor="text1"/>
        </w:rPr>
        <w:t xml:space="preserve">significant </w:t>
      </w:r>
      <w:r w:rsidR="001716C1" w:rsidRPr="00B3329E">
        <w:rPr>
          <w:rFonts w:ascii="Tahoma" w:hAnsi="Tahoma" w:cs="Tahoma"/>
          <w:color w:val="000000" w:themeColor="text1"/>
        </w:rPr>
        <w:t xml:space="preserve">variation </w:t>
      </w:r>
      <w:r w:rsidR="00781379" w:rsidRPr="00B3329E">
        <w:rPr>
          <w:rFonts w:ascii="Tahoma" w:hAnsi="Tahoma" w:cs="Tahoma"/>
          <w:color w:val="000000" w:themeColor="text1"/>
        </w:rPr>
        <w:t xml:space="preserve">of risk </w:t>
      </w:r>
      <w:r w:rsidR="001717A3" w:rsidRPr="00B3329E">
        <w:rPr>
          <w:rFonts w:ascii="Tahoma" w:hAnsi="Tahoma" w:cs="Tahoma"/>
          <w:color w:val="000000" w:themeColor="text1"/>
        </w:rPr>
        <w:t>across sectors, for example</w:t>
      </w:r>
      <w:r w:rsidR="00886426" w:rsidRPr="00B3329E">
        <w:rPr>
          <w:rFonts w:ascii="Tahoma" w:hAnsi="Tahoma" w:cs="Tahoma"/>
          <w:color w:val="000000" w:themeColor="text1"/>
        </w:rPr>
        <w:t>,</w:t>
      </w:r>
      <w:r w:rsidR="00C663BB" w:rsidRPr="00B3329E">
        <w:rPr>
          <w:rFonts w:ascii="Tahoma" w:hAnsi="Tahoma" w:cs="Tahoma"/>
          <w:color w:val="000000" w:themeColor="text1"/>
        </w:rPr>
        <w:t xml:space="preserve"> </w:t>
      </w:r>
      <w:r w:rsidR="00781379" w:rsidRPr="00B3329E">
        <w:rPr>
          <w:rFonts w:ascii="Tahoma" w:hAnsi="Tahoma" w:cs="Tahoma"/>
          <w:color w:val="000000" w:themeColor="text1"/>
        </w:rPr>
        <w:t>the infrastructure utilities stocks had an average beta</w:t>
      </w:r>
      <w:r w:rsidR="005E7B94" w:rsidRPr="00B3329E">
        <w:rPr>
          <w:rFonts w:ascii="Tahoma" w:hAnsi="Tahoma" w:cs="Tahoma"/>
          <w:color w:val="000000" w:themeColor="text1"/>
        </w:rPr>
        <w:t xml:space="preserve"> </w:t>
      </w:r>
      <w:r w:rsidR="00781379" w:rsidRPr="00B3329E">
        <w:rPr>
          <w:rFonts w:ascii="Tahoma" w:hAnsi="Tahoma" w:cs="Tahoma"/>
          <w:color w:val="000000" w:themeColor="text1"/>
        </w:rPr>
        <w:t>of</w:t>
      </w:r>
      <w:r w:rsidR="005E7B94" w:rsidRPr="00B3329E">
        <w:rPr>
          <w:rFonts w:ascii="Tahoma" w:hAnsi="Tahoma" w:cs="Tahoma"/>
          <w:color w:val="000000" w:themeColor="text1"/>
        </w:rPr>
        <w:t xml:space="preserve"> 0.50 whereas </w:t>
      </w:r>
      <w:r w:rsidR="00781379" w:rsidRPr="00B3329E">
        <w:rPr>
          <w:rFonts w:ascii="Tahoma" w:hAnsi="Tahoma" w:cs="Tahoma"/>
          <w:color w:val="000000" w:themeColor="text1"/>
        </w:rPr>
        <w:t xml:space="preserve">infrastructure companies in the </w:t>
      </w:r>
      <w:r w:rsidR="00365501" w:rsidRPr="00B3329E">
        <w:rPr>
          <w:rFonts w:ascii="Tahoma" w:hAnsi="Tahoma" w:cs="Tahoma"/>
          <w:color w:val="000000" w:themeColor="text1"/>
        </w:rPr>
        <w:t>telecom</w:t>
      </w:r>
      <w:r w:rsidR="00781379" w:rsidRPr="00B3329E">
        <w:rPr>
          <w:rFonts w:ascii="Tahoma" w:hAnsi="Tahoma" w:cs="Tahoma"/>
          <w:color w:val="000000" w:themeColor="text1"/>
        </w:rPr>
        <w:t>munications sector</w:t>
      </w:r>
      <w:r w:rsidR="00365501" w:rsidRPr="00B3329E">
        <w:rPr>
          <w:rFonts w:ascii="Tahoma" w:hAnsi="Tahoma" w:cs="Tahoma"/>
          <w:color w:val="000000" w:themeColor="text1"/>
        </w:rPr>
        <w:t xml:space="preserve"> </w:t>
      </w:r>
      <w:r w:rsidR="00781379" w:rsidRPr="00B3329E">
        <w:rPr>
          <w:rFonts w:ascii="Tahoma" w:hAnsi="Tahoma" w:cs="Tahoma"/>
          <w:color w:val="000000" w:themeColor="text1"/>
        </w:rPr>
        <w:t>had an average beta of</w:t>
      </w:r>
      <w:r w:rsidR="005E7B94" w:rsidRPr="00B3329E">
        <w:rPr>
          <w:rFonts w:ascii="Tahoma" w:hAnsi="Tahoma" w:cs="Tahoma"/>
          <w:color w:val="000000" w:themeColor="text1"/>
        </w:rPr>
        <w:t xml:space="preserve"> 1.09.</w:t>
      </w:r>
      <w:r w:rsidR="00C06E78" w:rsidRPr="00B3329E">
        <w:rPr>
          <w:rFonts w:ascii="Tahoma" w:hAnsi="Tahoma" w:cs="Tahoma"/>
          <w:color w:val="000000" w:themeColor="text1"/>
        </w:rPr>
        <w:t xml:space="preserve"> </w:t>
      </w:r>
      <w:r w:rsidR="001716C1" w:rsidRPr="00B3329E">
        <w:rPr>
          <w:rFonts w:ascii="Tahoma" w:hAnsi="Tahoma" w:cs="Tahoma"/>
          <w:color w:val="000000" w:themeColor="text1"/>
        </w:rPr>
        <w:t xml:space="preserve"> Rothballer and Kaserer argue that this variation across sectors </w:t>
      </w:r>
      <w:r w:rsidR="00B46EB2" w:rsidRPr="00B3329E">
        <w:rPr>
          <w:rFonts w:ascii="Tahoma" w:hAnsi="Tahoma" w:cs="Tahoma"/>
          <w:color w:val="000000" w:themeColor="text1"/>
        </w:rPr>
        <w:t>is evidence that listed infrastructure is not an asset class.  However, the logic of this argument is flawed when considering that the same variation between sectors is present across the wider equity market as well, and “equities” are indisputably an asset class.</w:t>
      </w:r>
    </w:p>
    <w:p w:rsidR="00EA6483" w:rsidRPr="00B3329E" w:rsidRDefault="00EA6483" w:rsidP="00EA6483">
      <w:pPr>
        <w:spacing w:after="0"/>
        <w:rPr>
          <w:rFonts w:ascii="Tahoma" w:hAnsi="Tahoma" w:cs="Tahoma"/>
          <w:color w:val="000000" w:themeColor="text1"/>
        </w:rPr>
      </w:pPr>
    </w:p>
    <w:p w:rsidR="00F457C3" w:rsidRPr="00B3329E" w:rsidRDefault="00F829C1" w:rsidP="00EA6483">
      <w:pPr>
        <w:spacing w:after="0"/>
        <w:rPr>
          <w:rFonts w:ascii="Tahoma" w:hAnsi="Tahoma" w:cs="Tahoma"/>
          <w:color w:val="000000" w:themeColor="text1"/>
        </w:rPr>
      </w:pPr>
      <w:r w:rsidRPr="00B3329E">
        <w:rPr>
          <w:rFonts w:ascii="Tahoma" w:hAnsi="Tahoma" w:cs="Tahoma"/>
          <w:color w:val="000000" w:themeColor="text1"/>
        </w:rPr>
        <w:t>Bird et al (</w:t>
      </w:r>
      <w:r w:rsidR="00633E14" w:rsidRPr="00B3329E">
        <w:rPr>
          <w:rFonts w:ascii="Tahoma" w:hAnsi="Tahoma" w:cs="Tahoma"/>
          <w:color w:val="000000" w:themeColor="text1"/>
        </w:rPr>
        <w:t>2</w:t>
      </w:r>
      <w:r w:rsidR="00E9354D" w:rsidRPr="00B3329E">
        <w:rPr>
          <w:rFonts w:ascii="Tahoma" w:hAnsi="Tahoma" w:cs="Tahoma"/>
          <w:color w:val="000000" w:themeColor="text1"/>
        </w:rPr>
        <w:t>014</w:t>
      </w:r>
      <w:r w:rsidRPr="00B3329E">
        <w:rPr>
          <w:rFonts w:ascii="Tahoma" w:hAnsi="Tahoma" w:cs="Tahoma"/>
          <w:color w:val="000000" w:themeColor="text1"/>
        </w:rPr>
        <w:t xml:space="preserve">) </w:t>
      </w:r>
      <w:r w:rsidR="00B46EB2" w:rsidRPr="00B3329E">
        <w:rPr>
          <w:rFonts w:ascii="Tahoma" w:hAnsi="Tahoma" w:cs="Tahoma"/>
          <w:color w:val="000000" w:themeColor="text1"/>
        </w:rPr>
        <w:t xml:space="preserve">build on the factor analysis framework to analysing </w:t>
      </w:r>
      <w:r w:rsidR="0005441D" w:rsidRPr="00B3329E">
        <w:rPr>
          <w:rFonts w:ascii="Tahoma" w:hAnsi="Tahoma" w:cs="Tahoma"/>
          <w:color w:val="000000" w:themeColor="text1"/>
        </w:rPr>
        <w:t xml:space="preserve">global </w:t>
      </w:r>
      <w:r w:rsidR="006C5A17" w:rsidRPr="00B3329E">
        <w:rPr>
          <w:rFonts w:ascii="Tahoma" w:hAnsi="Tahoma" w:cs="Tahoma"/>
          <w:color w:val="000000" w:themeColor="text1"/>
        </w:rPr>
        <w:t>l</w:t>
      </w:r>
      <w:r w:rsidR="00001B03" w:rsidRPr="00B3329E">
        <w:rPr>
          <w:rFonts w:ascii="Tahoma" w:hAnsi="Tahoma" w:cs="Tahoma"/>
          <w:color w:val="000000" w:themeColor="text1"/>
        </w:rPr>
        <w:t>isted infrastructure</w:t>
      </w:r>
      <w:r w:rsidR="0013011D" w:rsidRPr="00B3329E">
        <w:rPr>
          <w:rFonts w:ascii="Tahoma" w:hAnsi="Tahoma" w:cs="Tahoma"/>
          <w:color w:val="000000" w:themeColor="text1"/>
        </w:rPr>
        <w:t xml:space="preserve"> </w:t>
      </w:r>
      <w:r w:rsidR="00001B03" w:rsidRPr="00B3329E">
        <w:rPr>
          <w:rFonts w:ascii="Tahoma" w:hAnsi="Tahoma" w:cs="Tahoma"/>
          <w:color w:val="000000" w:themeColor="text1"/>
        </w:rPr>
        <w:t xml:space="preserve">returns </w:t>
      </w:r>
      <w:r w:rsidR="0013011D" w:rsidRPr="00B3329E">
        <w:rPr>
          <w:rFonts w:ascii="Tahoma" w:hAnsi="Tahoma" w:cs="Tahoma"/>
          <w:color w:val="000000" w:themeColor="text1"/>
        </w:rPr>
        <w:t xml:space="preserve">by </w:t>
      </w:r>
      <w:r w:rsidR="00001B03" w:rsidRPr="00B3329E">
        <w:rPr>
          <w:rFonts w:ascii="Tahoma" w:hAnsi="Tahoma" w:cs="Tahoma"/>
          <w:color w:val="000000" w:themeColor="text1"/>
        </w:rPr>
        <w:t xml:space="preserve">performing multi-variate regression with an </w:t>
      </w:r>
      <w:r w:rsidR="00633E14" w:rsidRPr="00B3329E">
        <w:rPr>
          <w:rFonts w:ascii="Tahoma" w:hAnsi="Tahoma" w:cs="Tahoma"/>
          <w:color w:val="000000" w:themeColor="text1"/>
        </w:rPr>
        <w:t xml:space="preserve">expanded </w:t>
      </w:r>
      <w:r w:rsidRPr="00B3329E">
        <w:rPr>
          <w:rFonts w:ascii="Tahoma" w:hAnsi="Tahoma" w:cs="Tahoma"/>
          <w:color w:val="000000" w:themeColor="text1"/>
        </w:rPr>
        <w:t xml:space="preserve">Fama and French (1993) </w:t>
      </w:r>
      <w:r w:rsidR="00001B03" w:rsidRPr="00B3329E">
        <w:rPr>
          <w:rFonts w:ascii="Tahoma" w:hAnsi="Tahoma" w:cs="Tahoma"/>
          <w:color w:val="000000" w:themeColor="text1"/>
        </w:rPr>
        <w:t xml:space="preserve">factor analysis </w:t>
      </w:r>
      <w:r w:rsidRPr="00B3329E">
        <w:rPr>
          <w:rFonts w:ascii="Tahoma" w:hAnsi="Tahoma" w:cs="Tahoma"/>
          <w:color w:val="000000" w:themeColor="text1"/>
        </w:rPr>
        <w:t>approach</w:t>
      </w:r>
      <w:r w:rsidR="0013011D" w:rsidRPr="00B3329E">
        <w:rPr>
          <w:rFonts w:ascii="Tahoma" w:hAnsi="Tahoma" w:cs="Tahoma"/>
          <w:color w:val="000000" w:themeColor="text1"/>
        </w:rPr>
        <w:t xml:space="preserve">.  </w:t>
      </w:r>
      <w:r w:rsidR="00001B03" w:rsidRPr="00B3329E">
        <w:rPr>
          <w:rFonts w:ascii="Tahoma" w:hAnsi="Tahoma" w:cs="Tahoma"/>
          <w:color w:val="000000" w:themeColor="text1"/>
        </w:rPr>
        <w:t xml:space="preserve">They agree with previous risk </w:t>
      </w:r>
      <w:r w:rsidR="00F457C3" w:rsidRPr="00B3329E">
        <w:rPr>
          <w:rFonts w:ascii="Tahoma" w:hAnsi="Tahoma" w:cs="Tahoma"/>
          <w:color w:val="000000" w:themeColor="text1"/>
        </w:rPr>
        <w:t>analysis</w:t>
      </w:r>
      <w:r w:rsidR="00001B03" w:rsidRPr="00B3329E">
        <w:rPr>
          <w:rFonts w:ascii="Tahoma" w:hAnsi="Tahoma" w:cs="Tahoma"/>
          <w:color w:val="000000" w:themeColor="text1"/>
        </w:rPr>
        <w:t xml:space="preserve"> </w:t>
      </w:r>
      <w:r w:rsidR="00F457C3" w:rsidRPr="00B3329E">
        <w:rPr>
          <w:rFonts w:ascii="Tahoma" w:hAnsi="Tahoma" w:cs="Tahoma"/>
          <w:color w:val="000000" w:themeColor="text1"/>
        </w:rPr>
        <w:t xml:space="preserve">studies </w:t>
      </w:r>
      <w:r w:rsidR="0013011D" w:rsidRPr="00B3329E">
        <w:rPr>
          <w:rFonts w:ascii="Tahoma" w:hAnsi="Tahoma" w:cs="Tahoma"/>
          <w:color w:val="000000" w:themeColor="text1"/>
        </w:rPr>
        <w:t>that listed infrastructure has low</w:t>
      </w:r>
      <w:r w:rsidR="00001B03" w:rsidRPr="00B3329E">
        <w:rPr>
          <w:rFonts w:ascii="Tahoma" w:hAnsi="Tahoma" w:cs="Tahoma"/>
          <w:color w:val="000000" w:themeColor="text1"/>
        </w:rPr>
        <w:t xml:space="preserve"> market beta</w:t>
      </w:r>
      <w:r w:rsidR="0013011D" w:rsidRPr="00B3329E">
        <w:rPr>
          <w:rFonts w:ascii="Tahoma" w:hAnsi="Tahoma" w:cs="Tahoma"/>
          <w:color w:val="000000" w:themeColor="text1"/>
        </w:rPr>
        <w:t xml:space="preserve"> </w:t>
      </w:r>
      <w:r w:rsidR="00001B03" w:rsidRPr="00B3329E">
        <w:rPr>
          <w:rFonts w:ascii="Tahoma" w:hAnsi="Tahoma" w:cs="Tahoma"/>
          <w:color w:val="000000" w:themeColor="text1"/>
        </w:rPr>
        <w:t xml:space="preserve">and </w:t>
      </w:r>
      <w:r w:rsidR="0013011D" w:rsidRPr="00B3329E">
        <w:rPr>
          <w:rFonts w:ascii="Tahoma" w:hAnsi="Tahoma" w:cs="Tahoma"/>
          <w:color w:val="000000" w:themeColor="text1"/>
        </w:rPr>
        <w:t xml:space="preserve">also </w:t>
      </w:r>
      <w:r w:rsidR="00001B03" w:rsidRPr="00B3329E">
        <w:rPr>
          <w:rFonts w:ascii="Tahoma" w:hAnsi="Tahoma" w:cs="Tahoma"/>
          <w:color w:val="000000" w:themeColor="text1"/>
        </w:rPr>
        <w:t xml:space="preserve">find </w:t>
      </w:r>
      <w:r w:rsidR="0013011D" w:rsidRPr="00B3329E">
        <w:rPr>
          <w:rFonts w:ascii="Tahoma" w:hAnsi="Tahoma" w:cs="Tahoma"/>
          <w:color w:val="000000" w:themeColor="text1"/>
        </w:rPr>
        <w:t>that</w:t>
      </w:r>
      <w:r w:rsidR="00001B03" w:rsidRPr="00B3329E">
        <w:rPr>
          <w:rFonts w:ascii="Tahoma" w:hAnsi="Tahoma" w:cs="Tahoma"/>
          <w:color w:val="000000" w:themeColor="text1"/>
        </w:rPr>
        <w:t xml:space="preserve"> conventional market factors, such as the</w:t>
      </w:r>
      <w:r w:rsidR="0013011D" w:rsidRPr="00B3329E">
        <w:rPr>
          <w:rFonts w:ascii="Tahoma" w:hAnsi="Tahoma" w:cs="Tahoma"/>
          <w:color w:val="000000" w:themeColor="text1"/>
        </w:rPr>
        <w:t xml:space="preserve"> small cap factor and value factor</w:t>
      </w:r>
      <w:r w:rsidR="00001B03" w:rsidRPr="00B3329E">
        <w:rPr>
          <w:rFonts w:ascii="Tahoma" w:hAnsi="Tahoma" w:cs="Tahoma"/>
          <w:color w:val="000000" w:themeColor="text1"/>
        </w:rPr>
        <w:t>,</w:t>
      </w:r>
      <w:r w:rsidR="0013011D" w:rsidRPr="00B3329E">
        <w:rPr>
          <w:rFonts w:ascii="Tahoma" w:hAnsi="Tahoma" w:cs="Tahoma"/>
          <w:color w:val="000000" w:themeColor="text1"/>
        </w:rPr>
        <w:t xml:space="preserve"> lack strong explanatory power </w:t>
      </w:r>
      <w:r w:rsidR="00001B03" w:rsidRPr="00B3329E">
        <w:rPr>
          <w:rFonts w:ascii="Tahoma" w:hAnsi="Tahoma" w:cs="Tahoma"/>
          <w:color w:val="000000" w:themeColor="text1"/>
        </w:rPr>
        <w:t>which leads them to</w:t>
      </w:r>
      <w:r w:rsidR="0013011D" w:rsidRPr="00B3329E">
        <w:rPr>
          <w:rFonts w:ascii="Tahoma" w:hAnsi="Tahoma" w:cs="Tahoma"/>
          <w:color w:val="000000" w:themeColor="text1"/>
        </w:rPr>
        <w:t xml:space="preserve"> conclude that </w:t>
      </w:r>
      <w:r w:rsidR="00001B03" w:rsidRPr="00B3329E">
        <w:rPr>
          <w:rFonts w:ascii="Tahoma" w:hAnsi="Tahoma" w:cs="Tahoma"/>
          <w:color w:val="000000" w:themeColor="text1"/>
        </w:rPr>
        <w:t xml:space="preserve">listed </w:t>
      </w:r>
      <w:r w:rsidR="0013011D" w:rsidRPr="00B3329E">
        <w:rPr>
          <w:rFonts w:ascii="Tahoma" w:hAnsi="Tahoma" w:cs="Tahoma"/>
          <w:color w:val="000000" w:themeColor="text1"/>
        </w:rPr>
        <w:t xml:space="preserve">infrastructure does </w:t>
      </w:r>
      <w:r w:rsidR="00001B03" w:rsidRPr="00B3329E">
        <w:rPr>
          <w:rFonts w:ascii="Tahoma" w:hAnsi="Tahoma" w:cs="Tahoma"/>
          <w:color w:val="000000" w:themeColor="text1"/>
        </w:rPr>
        <w:t>indeed have high idiosyncratic risk</w:t>
      </w:r>
      <w:r w:rsidR="009238EF" w:rsidRPr="00B3329E">
        <w:rPr>
          <w:rFonts w:ascii="Tahoma" w:hAnsi="Tahoma" w:cs="Tahoma"/>
          <w:color w:val="000000" w:themeColor="text1"/>
        </w:rPr>
        <w:t xml:space="preserve"> and dispels the idea that the diversification effect is solely being driven by regional differences.</w:t>
      </w:r>
    </w:p>
    <w:p w:rsidR="009238EF" w:rsidRPr="00B3329E" w:rsidRDefault="009238EF" w:rsidP="00EA6483">
      <w:pPr>
        <w:spacing w:after="0"/>
        <w:rPr>
          <w:rFonts w:ascii="Tahoma" w:hAnsi="Tahoma" w:cs="Tahoma"/>
          <w:color w:val="000000" w:themeColor="text1"/>
        </w:rPr>
      </w:pPr>
    </w:p>
    <w:p w:rsidR="009238EF" w:rsidRPr="00B3329E" w:rsidRDefault="0030677C" w:rsidP="009238EF">
      <w:pPr>
        <w:spacing w:after="0"/>
        <w:rPr>
          <w:rFonts w:ascii="Tahoma" w:hAnsi="Tahoma" w:cs="Tahoma"/>
          <w:color w:val="000000" w:themeColor="text1"/>
        </w:rPr>
      </w:pPr>
      <w:r w:rsidRPr="00B3329E">
        <w:rPr>
          <w:rFonts w:ascii="Tahoma" w:hAnsi="Tahoma" w:cs="Tahoma"/>
          <w:color w:val="000000" w:themeColor="text1"/>
        </w:rPr>
        <w:t>These studies have covered different portfolio characteristics, time periods, regions and methods of analysis but arrived at the same conclusion: that listed infrastructure does provide diversification.</w:t>
      </w:r>
      <w:r w:rsidR="009238EF" w:rsidRPr="00B3329E">
        <w:rPr>
          <w:rFonts w:ascii="Tahoma" w:hAnsi="Tahoma" w:cs="Tahoma"/>
          <w:color w:val="000000" w:themeColor="text1"/>
        </w:rPr>
        <w:t xml:space="preserve">  It is surprising then, that other studies present a different, contradictory narrative challenges listed infrastructure’s legitimacy as an asset class and its diversification potential.</w:t>
      </w:r>
    </w:p>
    <w:p w:rsidR="00EA6483" w:rsidRDefault="00EA6483" w:rsidP="00A426E5">
      <w:pPr>
        <w:pStyle w:val="2"/>
        <w:rPr>
          <w:rFonts w:eastAsiaTheme="minorEastAsia" w:cs="Tahoma"/>
          <w:b w:val="0"/>
          <w:color w:val="000000" w:themeColor="text1"/>
          <w:szCs w:val="22"/>
        </w:rPr>
      </w:pPr>
    </w:p>
    <w:p w:rsidR="004C2C63" w:rsidRPr="004C2C63" w:rsidRDefault="004C2C63" w:rsidP="004C2C63"/>
    <w:p w:rsidR="00F457C3" w:rsidRPr="00B3329E" w:rsidRDefault="009E07CA" w:rsidP="00A426E5">
      <w:pPr>
        <w:pStyle w:val="2"/>
        <w:rPr>
          <w:rFonts w:cs="Tahoma"/>
          <w:color w:val="000000" w:themeColor="text1"/>
        </w:rPr>
      </w:pPr>
      <w:bookmarkStart w:id="9" w:name="_Toc523311340"/>
      <w:r w:rsidRPr="00B3329E">
        <w:rPr>
          <w:rFonts w:cs="Tahoma"/>
          <w:color w:val="000000" w:themeColor="text1"/>
        </w:rPr>
        <w:t xml:space="preserve">2.2. </w:t>
      </w:r>
      <w:bookmarkEnd w:id="9"/>
      <w:r w:rsidR="004C2C63">
        <w:rPr>
          <w:rFonts w:cs="Tahoma"/>
          <w:color w:val="000000" w:themeColor="text1"/>
        </w:rPr>
        <w:t>Negative asset class and diversification findings</w:t>
      </w:r>
    </w:p>
    <w:p w:rsidR="00CC50A8" w:rsidRPr="00B3329E" w:rsidRDefault="00CC50A8" w:rsidP="00EA6483">
      <w:pPr>
        <w:spacing w:after="0"/>
        <w:rPr>
          <w:rFonts w:ascii="Tahoma" w:hAnsi="Tahoma" w:cs="Tahoma"/>
          <w:color w:val="000000" w:themeColor="text1"/>
        </w:rPr>
      </w:pPr>
    </w:p>
    <w:p w:rsidR="00A775AC" w:rsidRPr="00B3329E" w:rsidRDefault="003C6267" w:rsidP="00EA6483">
      <w:pPr>
        <w:spacing w:after="0"/>
        <w:rPr>
          <w:rFonts w:ascii="Tahoma" w:hAnsi="Tahoma" w:cs="Tahoma"/>
          <w:color w:val="000000" w:themeColor="text1"/>
        </w:rPr>
      </w:pPr>
      <w:r w:rsidRPr="00B3329E">
        <w:rPr>
          <w:rFonts w:ascii="Tahoma" w:hAnsi="Tahoma" w:cs="Tahoma"/>
          <w:color w:val="000000" w:themeColor="text1"/>
        </w:rPr>
        <w:t xml:space="preserve">Idzorek and Armstrong (2009) study the period 1990-2007, which is achieved by creating a series of </w:t>
      </w:r>
      <w:r w:rsidR="00414A3E" w:rsidRPr="00B3329E">
        <w:rPr>
          <w:rFonts w:ascii="Tahoma" w:hAnsi="Tahoma" w:cs="Tahoma"/>
          <w:color w:val="000000" w:themeColor="text1"/>
        </w:rPr>
        <w:t>backfilled</w:t>
      </w:r>
      <w:r w:rsidRPr="00B3329E">
        <w:rPr>
          <w:rFonts w:ascii="Tahoma" w:hAnsi="Tahoma" w:cs="Tahoma"/>
          <w:color w:val="000000" w:themeColor="text1"/>
        </w:rPr>
        <w:t xml:space="preserve"> </w:t>
      </w:r>
      <w:r w:rsidR="009238EF" w:rsidRPr="00B3329E">
        <w:rPr>
          <w:rFonts w:ascii="Tahoma" w:hAnsi="Tahoma" w:cs="Tahoma"/>
          <w:color w:val="000000" w:themeColor="text1"/>
        </w:rPr>
        <w:t xml:space="preserve">infrastructure indices, an approach that </w:t>
      </w:r>
      <w:r w:rsidR="00A775AC" w:rsidRPr="00B3329E">
        <w:rPr>
          <w:rFonts w:ascii="Tahoma" w:hAnsi="Tahoma" w:cs="Tahoma"/>
          <w:color w:val="000000" w:themeColor="text1"/>
        </w:rPr>
        <w:t>diffe</w:t>
      </w:r>
      <w:r w:rsidR="009238EF" w:rsidRPr="00B3329E">
        <w:rPr>
          <w:rFonts w:ascii="Tahoma" w:hAnsi="Tahoma" w:cs="Tahoma"/>
          <w:color w:val="000000" w:themeColor="text1"/>
        </w:rPr>
        <w:t>rs</w:t>
      </w:r>
      <w:r w:rsidR="00A775AC" w:rsidRPr="00B3329E">
        <w:rPr>
          <w:rFonts w:ascii="Tahoma" w:hAnsi="Tahoma" w:cs="Tahoma"/>
          <w:color w:val="000000" w:themeColor="text1"/>
        </w:rPr>
        <w:t xml:space="preserve"> to </w:t>
      </w:r>
      <w:r w:rsidR="009238EF" w:rsidRPr="00B3329E">
        <w:rPr>
          <w:rFonts w:ascii="Tahoma" w:hAnsi="Tahoma" w:cs="Tahoma"/>
          <w:color w:val="000000" w:themeColor="text1"/>
        </w:rPr>
        <w:t>previously</w:t>
      </w:r>
      <w:r w:rsidR="00A775AC" w:rsidRPr="00B3329E">
        <w:rPr>
          <w:rFonts w:ascii="Tahoma" w:hAnsi="Tahoma" w:cs="Tahoma"/>
          <w:color w:val="000000" w:themeColor="text1"/>
        </w:rPr>
        <w:t xml:space="preserve"> mentioned </w:t>
      </w:r>
      <w:r w:rsidR="009238EF" w:rsidRPr="00B3329E">
        <w:rPr>
          <w:rFonts w:ascii="Tahoma" w:hAnsi="Tahoma" w:cs="Tahoma"/>
          <w:color w:val="000000" w:themeColor="text1"/>
        </w:rPr>
        <w:t xml:space="preserve">studies </w:t>
      </w:r>
      <w:r w:rsidR="00A775AC" w:rsidRPr="00B3329E">
        <w:rPr>
          <w:rFonts w:ascii="Tahoma" w:hAnsi="Tahoma" w:cs="Tahoma"/>
          <w:color w:val="000000" w:themeColor="text1"/>
        </w:rPr>
        <w:t xml:space="preserve">that </w:t>
      </w:r>
      <w:r w:rsidR="009238EF" w:rsidRPr="00B3329E">
        <w:rPr>
          <w:rFonts w:ascii="Tahoma" w:hAnsi="Tahoma" w:cs="Tahoma"/>
          <w:color w:val="000000" w:themeColor="text1"/>
        </w:rPr>
        <w:t xml:space="preserve">use empirical, stock-level data.  </w:t>
      </w:r>
      <w:r w:rsidR="00A775AC" w:rsidRPr="00B3329E">
        <w:rPr>
          <w:rFonts w:ascii="Tahoma" w:hAnsi="Tahoma" w:cs="Tahoma"/>
          <w:color w:val="000000" w:themeColor="text1"/>
        </w:rPr>
        <w:t xml:space="preserve">They identify moderate correlation between 0.57 and 0.61 with US stocks and higher correlation with non-US stocks 0.63 to 0.70. They conclude that </w:t>
      </w:r>
      <w:r w:rsidR="00263D20" w:rsidRPr="00B3329E">
        <w:rPr>
          <w:rFonts w:ascii="Tahoma" w:hAnsi="Tahoma" w:cs="Tahoma"/>
          <w:color w:val="000000" w:themeColor="text1"/>
        </w:rPr>
        <w:t xml:space="preserve">whilst </w:t>
      </w:r>
      <w:r w:rsidR="00A775AC" w:rsidRPr="00B3329E">
        <w:rPr>
          <w:rFonts w:ascii="Tahoma" w:hAnsi="Tahoma" w:cs="Tahoma"/>
          <w:color w:val="000000" w:themeColor="text1"/>
        </w:rPr>
        <w:t>listed infra</w:t>
      </w:r>
      <w:r w:rsidR="009238EF" w:rsidRPr="00B3329E">
        <w:rPr>
          <w:rFonts w:ascii="Tahoma" w:hAnsi="Tahoma" w:cs="Tahoma"/>
          <w:color w:val="000000" w:themeColor="text1"/>
        </w:rPr>
        <w:t>structure offer</w:t>
      </w:r>
      <w:r w:rsidR="00263D20" w:rsidRPr="00B3329E">
        <w:rPr>
          <w:rFonts w:ascii="Tahoma" w:hAnsi="Tahoma" w:cs="Tahoma"/>
          <w:color w:val="000000" w:themeColor="text1"/>
        </w:rPr>
        <w:t>s</w:t>
      </w:r>
      <w:r w:rsidR="00A775AC" w:rsidRPr="00B3329E">
        <w:rPr>
          <w:rFonts w:ascii="Tahoma" w:hAnsi="Tahoma" w:cs="Tahoma"/>
          <w:color w:val="000000" w:themeColor="text1"/>
        </w:rPr>
        <w:t xml:space="preserve"> a unique investment opportunity </w:t>
      </w:r>
      <w:r w:rsidR="00263D20" w:rsidRPr="00B3329E">
        <w:rPr>
          <w:rFonts w:ascii="Tahoma" w:hAnsi="Tahoma" w:cs="Tahoma"/>
          <w:color w:val="000000" w:themeColor="text1"/>
        </w:rPr>
        <w:t xml:space="preserve">it cannot be considered an asset class due to its overlap </w:t>
      </w:r>
      <w:r w:rsidR="00A775AC" w:rsidRPr="00B3329E">
        <w:rPr>
          <w:rFonts w:ascii="Tahoma" w:hAnsi="Tahoma" w:cs="Tahoma"/>
          <w:color w:val="000000" w:themeColor="text1"/>
        </w:rPr>
        <w:t>with another asset class</w:t>
      </w:r>
      <w:r w:rsidR="009238EF" w:rsidRPr="00B3329E">
        <w:rPr>
          <w:rFonts w:ascii="Tahoma" w:hAnsi="Tahoma" w:cs="Tahoma"/>
          <w:color w:val="000000" w:themeColor="text1"/>
        </w:rPr>
        <w:t>, equities.</w:t>
      </w:r>
      <w:r w:rsidR="0004343D" w:rsidRPr="00B3329E">
        <w:rPr>
          <w:rFonts w:ascii="Tahoma" w:hAnsi="Tahoma" w:cs="Tahoma"/>
          <w:color w:val="000000" w:themeColor="text1"/>
        </w:rPr>
        <w:t xml:space="preserve"> However, </w:t>
      </w:r>
      <w:r w:rsidR="0004343D" w:rsidRPr="00B3329E">
        <w:rPr>
          <w:rFonts w:ascii="Tahoma" w:hAnsi="Tahoma" w:cs="Tahoma"/>
          <w:color w:val="000000" w:themeColor="text1"/>
        </w:rPr>
        <w:lastRenderedPageBreak/>
        <w:t xml:space="preserve">their approach of using the same data to back-fill the earliest periods for a series of benchmarks that are subsequently treated as independent samples is flawed so the results should be treated with scepticism.  </w:t>
      </w:r>
    </w:p>
    <w:p w:rsidR="00EA6483" w:rsidRPr="00B3329E" w:rsidRDefault="00EA6483" w:rsidP="00EA6483">
      <w:pPr>
        <w:spacing w:after="0"/>
        <w:rPr>
          <w:rFonts w:ascii="Tahoma" w:hAnsi="Tahoma" w:cs="Tahoma"/>
          <w:color w:val="000000" w:themeColor="text1"/>
        </w:rPr>
      </w:pPr>
    </w:p>
    <w:p w:rsidR="002B56B2" w:rsidRPr="00B3329E" w:rsidRDefault="0065194F" w:rsidP="00EA6483">
      <w:pPr>
        <w:spacing w:after="0"/>
        <w:rPr>
          <w:rFonts w:ascii="Tahoma" w:hAnsi="Tahoma" w:cs="Tahoma"/>
          <w:color w:val="000000" w:themeColor="text1"/>
        </w:rPr>
      </w:pPr>
      <w:r w:rsidRPr="00B3329E">
        <w:rPr>
          <w:rFonts w:ascii="Tahoma" w:hAnsi="Tahoma" w:cs="Tahoma"/>
          <w:color w:val="000000" w:themeColor="text1"/>
        </w:rPr>
        <w:t>Recent a</w:t>
      </w:r>
      <w:r w:rsidR="00333A18" w:rsidRPr="00B3329E">
        <w:rPr>
          <w:rFonts w:ascii="Tahoma" w:hAnsi="Tahoma" w:cs="Tahoma"/>
          <w:color w:val="000000" w:themeColor="text1"/>
        </w:rPr>
        <w:t>cademic research</w:t>
      </w:r>
      <w:r w:rsidRPr="00B3329E">
        <w:rPr>
          <w:rFonts w:ascii="Tahoma" w:hAnsi="Tahoma" w:cs="Tahoma"/>
          <w:color w:val="000000" w:themeColor="text1"/>
        </w:rPr>
        <w:t xml:space="preserve"> from</w:t>
      </w:r>
      <w:r w:rsidR="00333A18" w:rsidRPr="00B3329E">
        <w:rPr>
          <w:rFonts w:ascii="Tahoma" w:hAnsi="Tahoma" w:cs="Tahoma"/>
          <w:color w:val="000000" w:themeColor="text1"/>
        </w:rPr>
        <w:t xml:space="preserve"> EDHE</w:t>
      </w:r>
      <w:r w:rsidRPr="00B3329E">
        <w:rPr>
          <w:rFonts w:ascii="Tahoma" w:hAnsi="Tahoma" w:cs="Tahoma"/>
          <w:color w:val="000000" w:themeColor="text1"/>
        </w:rPr>
        <w:t>C’s Infrastructure Institute has</w:t>
      </w:r>
      <w:r w:rsidR="00333A18" w:rsidRPr="00B3329E">
        <w:rPr>
          <w:rFonts w:ascii="Tahoma" w:hAnsi="Tahoma" w:cs="Tahoma"/>
          <w:color w:val="000000" w:themeColor="text1"/>
        </w:rPr>
        <w:t xml:space="preserve"> be</w:t>
      </w:r>
      <w:r w:rsidR="002C7F29" w:rsidRPr="00B3329E">
        <w:rPr>
          <w:rFonts w:ascii="Tahoma" w:hAnsi="Tahoma" w:cs="Tahoma"/>
          <w:color w:val="000000" w:themeColor="text1"/>
        </w:rPr>
        <w:t>e</w:t>
      </w:r>
      <w:r w:rsidRPr="00B3329E">
        <w:rPr>
          <w:rFonts w:ascii="Tahoma" w:hAnsi="Tahoma" w:cs="Tahoma"/>
          <w:color w:val="000000" w:themeColor="text1"/>
        </w:rPr>
        <w:t>n particularly vocal about the</w:t>
      </w:r>
      <w:r w:rsidR="002C7F29" w:rsidRPr="00B3329E">
        <w:rPr>
          <w:rFonts w:ascii="Tahoma" w:hAnsi="Tahoma" w:cs="Tahoma"/>
          <w:color w:val="000000" w:themeColor="text1"/>
        </w:rPr>
        <w:t xml:space="preserve"> perceived </w:t>
      </w:r>
      <w:r w:rsidR="00333A18" w:rsidRPr="00B3329E">
        <w:rPr>
          <w:rFonts w:ascii="Tahoma" w:hAnsi="Tahoma" w:cs="Tahoma"/>
          <w:color w:val="000000" w:themeColor="text1"/>
        </w:rPr>
        <w:t>limitations of listed infrastructure</w:t>
      </w:r>
      <w:r w:rsidR="00903060" w:rsidRPr="00B3329E">
        <w:rPr>
          <w:rFonts w:ascii="Tahoma" w:hAnsi="Tahoma" w:cs="Tahoma"/>
          <w:color w:val="000000" w:themeColor="text1"/>
        </w:rPr>
        <w:t xml:space="preserve">.  </w:t>
      </w:r>
      <w:r w:rsidR="00333A18" w:rsidRPr="00B3329E">
        <w:rPr>
          <w:rFonts w:ascii="Tahoma" w:hAnsi="Tahoma" w:cs="Tahoma"/>
          <w:color w:val="000000" w:themeColor="text1"/>
        </w:rPr>
        <w:t xml:space="preserve">Their </w:t>
      </w:r>
      <w:r w:rsidRPr="00B3329E">
        <w:rPr>
          <w:rFonts w:ascii="Tahoma" w:hAnsi="Tahoma" w:cs="Tahoma"/>
          <w:color w:val="000000" w:themeColor="text1"/>
        </w:rPr>
        <w:t>high-profile</w:t>
      </w:r>
      <w:r w:rsidR="001970B8" w:rsidRPr="00B3329E">
        <w:rPr>
          <w:rFonts w:ascii="Tahoma" w:hAnsi="Tahoma" w:cs="Tahoma"/>
          <w:color w:val="000000" w:themeColor="text1"/>
        </w:rPr>
        <w:t xml:space="preserve"> research, which has been covered by the Financial Times (FT, 2017), argued that listed infrastruc</w:t>
      </w:r>
      <w:r w:rsidRPr="00B3329E">
        <w:rPr>
          <w:rFonts w:ascii="Tahoma" w:hAnsi="Tahoma" w:cs="Tahoma"/>
          <w:color w:val="000000" w:themeColor="text1"/>
        </w:rPr>
        <w:t>ture is “Fake Infra” and offers</w:t>
      </w:r>
      <w:r w:rsidR="001970B8" w:rsidRPr="00B3329E">
        <w:rPr>
          <w:rFonts w:ascii="Tahoma" w:hAnsi="Tahoma" w:cs="Tahoma"/>
          <w:color w:val="000000" w:themeColor="text1"/>
        </w:rPr>
        <w:t xml:space="preserve"> no portfolio benefit. They conclude that </w:t>
      </w:r>
      <w:r w:rsidR="007400A2" w:rsidRPr="00B3329E">
        <w:rPr>
          <w:rFonts w:ascii="Tahoma" w:hAnsi="Tahoma" w:cs="Tahoma"/>
          <w:color w:val="000000" w:themeColor="text1"/>
        </w:rPr>
        <w:t>the asset management industry</w:t>
      </w:r>
      <w:r w:rsidR="001970B8" w:rsidRPr="00B3329E">
        <w:rPr>
          <w:rFonts w:ascii="Tahoma" w:hAnsi="Tahoma" w:cs="Tahoma"/>
          <w:color w:val="000000" w:themeColor="text1"/>
        </w:rPr>
        <w:t xml:space="preserve">’s marketing of infrastructure amounted to </w:t>
      </w:r>
      <w:r w:rsidR="007400A2" w:rsidRPr="00B3329E">
        <w:rPr>
          <w:rFonts w:ascii="Tahoma" w:hAnsi="Tahoma" w:cs="Tahoma"/>
          <w:color w:val="000000" w:themeColor="text1"/>
        </w:rPr>
        <w:t>mis</w:t>
      </w:r>
      <w:r w:rsidR="00004F8C" w:rsidRPr="00B3329E">
        <w:rPr>
          <w:rFonts w:ascii="Tahoma" w:hAnsi="Tahoma" w:cs="Tahoma"/>
          <w:color w:val="000000" w:themeColor="text1"/>
        </w:rPr>
        <w:t>-</w:t>
      </w:r>
      <w:r w:rsidR="007400A2" w:rsidRPr="00B3329E">
        <w:rPr>
          <w:rFonts w:ascii="Tahoma" w:hAnsi="Tahoma" w:cs="Tahoma"/>
          <w:color w:val="000000" w:themeColor="text1"/>
        </w:rPr>
        <w:t>selling</w:t>
      </w:r>
      <w:r w:rsidR="001970B8" w:rsidRPr="00B3329E">
        <w:rPr>
          <w:rFonts w:ascii="Tahoma" w:hAnsi="Tahoma" w:cs="Tahoma"/>
          <w:color w:val="000000" w:themeColor="text1"/>
        </w:rPr>
        <w:t>.</w:t>
      </w:r>
      <w:r w:rsidRPr="00B3329E">
        <w:rPr>
          <w:rFonts w:ascii="Tahoma" w:hAnsi="Tahoma" w:cs="Tahoma"/>
          <w:color w:val="000000" w:themeColor="text1"/>
        </w:rPr>
        <w:t xml:space="preserve">  </w:t>
      </w:r>
      <w:r w:rsidR="001970B8" w:rsidRPr="00B3329E">
        <w:rPr>
          <w:rFonts w:ascii="Tahoma" w:hAnsi="Tahoma" w:cs="Tahoma"/>
          <w:color w:val="000000" w:themeColor="text1"/>
        </w:rPr>
        <w:t xml:space="preserve">These views </w:t>
      </w:r>
      <w:r w:rsidRPr="00B3329E">
        <w:rPr>
          <w:rFonts w:ascii="Tahoma" w:hAnsi="Tahoma" w:cs="Tahoma"/>
          <w:color w:val="000000" w:themeColor="text1"/>
        </w:rPr>
        <w:t>are</w:t>
      </w:r>
      <w:r w:rsidR="001970B8" w:rsidRPr="00B3329E">
        <w:rPr>
          <w:rFonts w:ascii="Tahoma" w:hAnsi="Tahoma" w:cs="Tahoma"/>
          <w:color w:val="000000" w:themeColor="text1"/>
        </w:rPr>
        <w:t xml:space="preserve"> driven by EDHEC’s </w:t>
      </w:r>
      <w:r w:rsidR="00903060" w:rsidRPr="00B3329E">
        <w:rPr>
          <w:rFonts w:ascii="Tahoma" w:hAnsi="Tahoma" w:cs="Tahoma"/>
          <w:color w:val="000000" w:themeColor="text1"/>
        </w:rPr>
        <w:t>Blanc-Brude et al</w:t>
      </w:r>
      <w:r w:rsidR="001970B8" w:rsidRPr="00B3329E">
        <w:rPr>
          <w:rFonts w:ascii="Tahoma" w:hAnsi="Tahoma" w:cs="Tahoma"/>
          <w:color w:val="000000" w:themeColor="text1"/>
        </w:rPr>
        <w:t>’s</w:t>
      </w:r>
      <w:r w:rsidR="00903060" w:rsidRPr="00B3329E">
        <w:rPr>
          <w:rFonts w:ascii="Tahoma" w:hAnsi="Tahoma" w:cs="Tahoma"/>
          <w:color w:val="000000" w:themeColor="text1"/>
        </w:rPr>
        <w:t xml:space="preserve"> (2016) </w:t>
      </w:r>
      <w:r w:rsidR="001970B8" w:rsidRPr="00B3329E">
        <w:rPr>
          <w:rFonts w:ascii="Tahoma" w:hAnsi="Tahoma" w:cs="Tahoma"/>
          <w:color w:val="000000" w:themeColor="text1"/>
        </w:rPr>
        <w:t xml:space="preserve">study that analysed </w:t>
      </w:r>
      <w:r w:rsidR="00A72561" w:rsidRPr="00B3329E">
        <w:rPr>
          <w:rFonts w:ascii="Tahoma" w:hAnsi="Tahoma" w:cs="Tahoma"/>
          <w:color w:val="000000" w:themeColor="text1"/>
        </w:rPr>
        <w:t>active</w:t>
      </w:r>
      <w:r w:rsidR="00903060" w:rsidRPr="00B3329E">
        <w:rPr>
          <w:rFonts w:ascii="Tahoma" w:hAnsi="Tahoma" w:cs="Tahoma"/>
          <w:color w:val="000000" w:themeColor="text1"/>
        </w:rPr>
        <w:t xml:space="preserve"> funds as well as infrastructure stocks and indices</w:t>
      </w:r>
      <w:r w:rsidR="001970B8" w:rsidRPr="00B3329E">
        <w:rPr>
          <w:rFonts w:ascii="Tahoma" w:hAnsi="Tahoma" w:cs="Tahoma"/>
          <w:color w:val="000000" w:themeColor="text1"/>
        </w:rPr>
        <w:t xml:space="preserve"> from 2001 to 2016</w:t>
      </w:r>
      <w:r w:rsidR="002A584A" w:rsidRPr="00B3329E">
        <w:rPr>
          <w:rFonts w:ascii="Tahoma" w:hAnsi="Tahoma" w:cs="Tahoma"/>
          <w:color w:val="000000" w:themeColor="text1"/>
        </w:rPr>
        <w:t xml:space="preserve">. </w:t>
      </w:r>
      <w:r w:rsidR="00903060" w:rsidRPr="00B3329E">
        <w:rPr>
          <w:rFonts w:ascii="Tahoma" w:hAnsi="Tahoma" w:cs="Tahoma"/>
          <w:color w:val="000000" w:themeColor="text1"/>
        </w:rPr>
        <w:t xml:space="preserve">These investment </w:t>
      </w:r>
      <w:r w:rsidR="00446883" w:rsidRPr="00B3329E">
        <w:rPr>
          <w:rFonts w:ascii="Tahoma" w:hAnsi="Tahoma" w:cs="Tahoma"/>
          <w:color w:val="000000" w:themeColor="text1"/>
        </w:rPr>
        <w:t>vehicles</w:t>
      </w:r>
      <w:r w:rsidR="00903060" w:rsidRPr="00B3329E">
        <w:rPr>
          <w:rFonts w:ascii="Tahoma" w:hAnsi="Tahoma" w:cs="Tahoma"/>
          <w:color w:val="000000" w:themeColor="text1"/>
        </w:rPr>
        <w:t xml:space="preserve"> </w:t>
      </w:r>
      <w:r w:rsidR="001970B8" w:rsidRPr="00B3329E">
        <w:rPr>
          <w:rFonts w:ascii="Tahoma" w:hAnsi="Tahoma" w:cs="Tahoma"/>
          <w:color w:val="000000" w:themeColor="text1"/>
        </w:rPr>
        <w:t>were</w:t>
      </w:r>
      <w:r w:rsidR="00903060" w:rsidRPr="00B3329E">
        <w:rPr>
          <w:rFonts w:ascii="Tahoma" w:hAnsi="Tahoma" w:cs="Tahoma"/>
          <w:color w:val="000000" w:themeColor="text1"/>
        </w:rPr>
        <w:t xml:space="preserve"> analysed</w:t>
      </w:r>
      <w:r w:rsidR="008A2904" w:rsidRPr="00B3329E">
        <w:rPr>
          <w:rFonts w:ascii="Tahoma" w:hAnsi="Tahoma" w:cs="Tahoma"/>
          <w:color w:val="000000" w:themeColor="text1"/>
        </w:rPr>
        <w:t xml:space="preserve"> across a range of metrics</w:t>
      </w:r>
      <w:r w:rsidR="00903060" w:rsidRPr="00B3329E">
        <w:rPr>
          <w:rFonts w:ascii="Tahoma" w:hAnsi="Tahoma" w:cs="Tahoma"/>
          <w:color w:val="000000" w:themeColor="text1"/>
        </w:rPr>
        <w:t xml:space="preserve"> to </w:t>
      </w:r>
      <w:r w:rsidRPr="00B3329E">
        <w:rPr>
          <w:rFonts w:ascii="Tahoma" w:hAnsi="Tahoma" w:cs="Tahoma"/>
          <w:color w:val="000000" w:themeColor="text1"/>
        </w:rPr>
        <w:t>test</w:t>
      </w:r>
      <w:r w:rsidR="00903060" w:rsidRPr="00B3329E">
        <w:rPr>
          <w:rFonts w:ascii="Tahoma" w:hAnsi="Tahoma" w:cs="Tahoma"/>
          <w:color w:val="000000" w:themeColor="text1"/>
        </w:rPr>
        <w:t xml:space="preserve"> if the listed </w:t>
      </w:r>
      <w:r w:rsidRPr="00B3329E">
        <w:rPr>
          <w:rFonts w:ascii="Tahoma" w:hAnsi="Tahoma" w:cs="Tahoma"/>
          <w:color w:val="000000" w:themeColor="text1"/>
        </w:rPr>
        <w:t>approach</w:t>
      </w:r>
      <w:r w:rsidR="00903060" w:rsidRPr="00B3329E">
        <w:rPr>
          <w:rFonts w:ascii="Tahoma" w:hAnsi="Tahoma" w:cs="Tahoma"/>
          <w:color w:val="000000" w:themeColor="text1"/>
        </w:rPr>
        <w:t xml:space="preserve"> fits the infrastructure narrative.</w:t>
      </w:r>
      <w:r w:rsidR="008A2904" w:rsidRPr="00B3329E">
        <w:rPr>
          <w:rFonts w:ascii="Tahoma" w:hAnsi="Tahoma" w:cs="Tahoma"/>
          <w:color w:val="000000" w:themeColor="text1"/>
        </w:rPr>
        <w:t xml:space="preserve"> </w:t>
      </w:r>
      <w:r w:rsidR="00446883" w:rsidRPr="00B3329E">
        <w:rPr>
          <w:rFonts w:ascii="Tahoma" w:hAnsi="Tahoma" w:cs="Tahoma"/>
          <w:color w:val="000000" w:themeColor="text1"/>
        </w:rPr>
        <w:t xml:space="preserve"> </w:t>
      </w:r>
      <w:r w:rsidR="002038D8" w:rsidRPr="00B3329E">
        <w:rPr>
          <w:rFonts w:ascii="Tahoma" w:hAnsi="Tahoma" w:cs="Tahoma"/>
          <w:color w:val="000000" w:themeColor="text1"/>
        </w:rPr>
        <w:t>For their divers</w:t>
      </w:r>
      <w:r w:rsidR="00446883" w:rsidRPr="00B3329E">
        <w:rPr>
          <w:rFonts w:ascii="Tahoma" w:hAnsi="Tahoma" w:cs="Tahoma"/>
          <w:color w:val="000000" w:themeColor="text1"/>
        </w:rPr>
        <w:t>i</w:t>
      </w:r>
      <w:r w:rsidR="003A4677" w:rsidRPr="00B3329E">
        <w:rPr>
          <w:rFonts w:ascii="Tahoma" w:hAnsi="Tahoma" w:cs="Tahoma"/>
          <w:color w:val="000000" w:themeColor="text1"/>
        </w:rPr>
        <w:t>fication study, they perform a mean-variance optimisation (</w:t>
      </w:r>
      <w:r w:rsidR="00446883" w:rsidRPr="00B3329E">
        <w:rPr>
          <w:rFonts w:ascii="Tahoma" w:hAnsi="Tahoma" w:cs="Tahoma"/>
          <w:color w:val="000000" w:themeColor="text1"/>
        </w:rPr>
        <w:t>MVO</w:t>
      </w:r>
      <w:r w:rsidR="003A4677" w:rsidRPr="00B3329E">
        <w:rPr>
          <w:rFonts w:ascii="Tahoma" w:hAnsi="Tahoma" w:cs="Tahoma"/>
          <w:color w:val="000000" w:themeColor="text1"/>
        </w:rPr>
        <w:t>)</w:t>
      </w:r>
      <w:r w:rsidR="00446883" w:rsidRPr="00B3329E">
        <w:rPr>
          <w:rFonts w:ascii="Tahoma" w:hAnsi="Tahoma" w:cs="Tahoma"/>
          <w:color w:val="000000" w:themeColor="text1"/>
        </w:rPr>
        <w:t xml:space="preserve"> </w:t>
      </w:r>
      <w:r w:rsidR="002038D8" w:rsidRPr="00B3329E">
        <w:rPr>
          <w:rFonts w:ascii="Tahoma" w:hAnsi="Tahoma" w:cs="Tahoma"/>
          <w:color w:val="000000" w:themeColor="text1"/>
        </w:rPr>
        <w:t>and use the models inclusion or exclusion of listed infrastructure</w:t>
      </w:r>
      <w:r w:rsidR="00446883" w:rsidRPr="00B3329E">
        <w:rPr>
          <w:rFonts w:ascii="Tahoma" w:hAnsi="Tahoma" w:cs="Tahoma"/>
          <w:color w:val="000000" w:themeColor="text1"/>
        </w:rPr>
        <w:t xml:space="preserve"> in the recommended allocation as evidence that it</w:t>
      </w:r>
      <w:r w:rsidR="002038D8" w:rsidRPr="00B3329E">
        <w:rPr>
          <w:rFonts w:ascii="Tahoma" w:hAnsi="Tahoma" w:cs="Tahoma"/>
          <w:color w:val="000000" w:themeColor="text1"/>
        </w:rPr>
        <w:t xml:space="preserve"> does or does</w:t>
      </w:r>
      <w:r w:rsidR="00446883" w:rsidRPr="00B3329E">
        <w:rPr>
          <w:rFonts w:ascii="Tahoma" w:hAnsi="Tahoma" w:cs="Tahoma"/>
          <w:color w:val="000000" w:themeColor="text1"/>
        </w:rPr>
        <w:t xml:space="preserve"> </w:t>
      </w:r>
      <w:r w:rsidR="002038D8" w:rsidRPr="00B3329E">
        <w:rPr>
          <w:rFonts w:ascii="Tahoma" w:hAnsi="Tahoma" w:cs="Tahoma"/>
          <w:color w:val="000000" w:themeColor="text1"/>
        </w:rPr>
        <w:t>n</w:t>
      </w:r>
      <w:r w:rsidR="00446883" w:rsidRPr="00B3329E">
        <w:rPr>
          <w:rFonts w:ascii="Tahoma" w:hAnsi="Tahoma" w:cs="Tahoma"/>
          <w:color w:val="000000" w:themeColor="text1"/>
        </w:rPr>
        <w:t>o</w:t>
      </w:r>
      <w:r w:rsidR="002038D8" w:rsidRPr="00B3329E">
        <w:rPr>
          <w:rFonts w:ascii="Tahoma" w:hAnsi="Tahoma" w:cs="Tahoma"/>
          <w:color w:val="000000" w:themeColor="text1"/>
        </w:rPr>
        <w:t>t provide diversification, respectively.</w:t>
      </w:r>
      <w:r w:rsidR="002328F0" w:rsidRPr="00B3329E">
        <w:rPr>
          <w:rFonts w:ascii="Tahoma" w:hAnsi="Tahoma" w:cs="Tahoma"/>
          <w:color w:val="000000" w:themeColor="text1"/>
        </w:rPr>
        <w:t xml:space="preserve">  </w:t>
      </w:r>
      <w:r w:rsidR="003A4677" w:rsidRPr="00B3329E">
        <w:rPr>
          <w:rFonts w:ascii="Tahoma" w:hAnsi="Tahoma" w:cs="Tahoma"/>
          <w:color w:val="000000" w:themeColor="text1"/>
        </w:rPr>
        <w:t xml:space="preserve">They find that </w:t>
      </w:r>
      <w:r w:rsidR="002A584A" w:rsidRPr="00B3329E">
        <w:rPr>
          <w:rFonts w:ascii="Tahoma" w:hAnsi="Tahoma" w:cs="Tahoma"/>
          <w:color w:val="000000" w:themeColor="text1"/>
        </w:rPr>
        <w:t>indices</w:t>
      </w:r>
      <w:r w:rsidR="007E63F4" w:rsidRPr="00B3329E">
        <w:rPr>
          <w:rFonts w:ascii="Tahoma" w:hAnsi="Tahoma" w:cs="Tahoma"/>
          <w:color w:val="000000" w:themeColor="text1"/>
        </w:rPr>
        <w:t>, active funds</w:t>
      </w:r>
      <w:r w:rsidR="002A584A" w:rsidRPr="00B3329E">
        <w:rPr>
          <w:rFonts w:ascii="Tahoma" w:hAnsi="Tahoma" w:cs="Tahoma"/>
          <w:color w:val="000000" w:themeColor="text1"/>
        </w:rPr>
        <w:t xml:space="preserve"> and majority of sectors </w:t>
      </w:r>
      <w:r w:rsidR="003A4677" w:rsidRPr="00B3329E">
        <w:rPr>
          <w:rFonts w:ascii="Tahoma" w:hAnsi="Tahoma" w:cs="Tahoma"/>
          <w:color w:val="000000" w:themeColor="text1"/>
        </w:rPr>
        <w:t xml:space="preserve">do not feature in the </w:t>
      </w:r>
      <w:r w:rsidR="007E63F4" w:rsidRPr="00B3329E">
        <w:rPr>
          <w:rFonts w:ascii="Tahoma" w:hAnsi="Tahoma" w:cs="Tahoma"/>
          <w:color w:val="000000" w:themeColor="text1"/>
        </w:rPr>
        <w:t>optimiser</w:t>
      </w:r>
      <w:r w:rsidR="009C4618" w:rsidRPr="00B3329E">
        <w:rPr>
          <w:rFonts w:ascii="Tahoma" w:hAnsi="Tahoma" w:cs="Tahoma"/>
          <w:color w:val="000000" w:themeColor="text1"/>
        </w:rPr>
        <w:t>’</w:t>
      </w:r>
      <w:r w:rsidR="007E63F4" w:rsidRPr="00B3329E">
        <w:rPr>
          <w:rFonts w:ascii="Tahoma" w:hAnsi="Tahoma" w:cs="Tahoma"/>
          <w:color w:val="000000" w:themeColor="text1"/>
        </w:rPr>
        <w:t>s efficient portfolio recommendation</w:t>
      </w:r>
      <w:r w:rsidR="0067154E" w:rsidRPr="00B3329E">
        <w:rPr>
          <w:rFonts w:ascii="Tahoma" w:hAnsi="Tahoma" w:cs="Tahoma"/>
          <w:color w:val="000000" w:themeColor="text1"/>
        </w:rPr>
        <w:t xml:space="preserve"> </w:t>
      </w:r>
      <w:r w:rsidR="00446883" w:rsidRPr="00B3329E">
        <w:rPr>
          <w:rFonts w:ascii="Tahoma" w:hAnsi="Tahoma" w:cs="Tahoma"/>
          <w:color w:val="000000" w:themeColor="text1"/>
        </w:rPr>
        <w:t>so</w:t>
      </w:r>
      <w:r w:rsidR="0067154E" w:rsidRPr="00B3329E">
        <w:rPr>
          <w:rFonts w:ascii="Tahoma" w:hAnsi="Tahoma" w:cs="Tahoma"/>
          <w:color w:val="000000" w:themeColor="text1"/>
        </w:rPr>
        <w:t xml:space="preserve"> conclu</w:t>
      </w:r>
      <w:r w:rsidR="00446883" w:rsidRPr="00B3329E">
        <w:rPr>
          <w:rFonts w:ascii="Tahoma" w:hAnsi="Tahoma" w:cs="Tahoma"/>
          <w:color w:val="000000" w:themeColor="text1"/>
        </w:rPr>
        <w:t>de</w:t>
      </w:r>
      <w:r w:rsidR="0067154E" w:rsidRPr="00B3329E">
        <w:rPr>
          <w:rFonts w:ascii="Tahoma" w:hAnsi="Tahoma" w:cs="Tahoma"/>
          <w:color w:val="000000" w:themeColor="text1"/>
        </w:rPr>
        <w:t xml:space="preserve"> that listed infra</w:t>
      </w:r>
      <w:r w:rsidR="009C4618" w:rsidRPr="00B3329E">
        <w:rPr>
          <w:rFonts w:ascii="Tahoma" w:hAnsi="Tahoma" w:cs="Tahoma"/>
          <w:color w:val="000000" w:themeColor="text1"/>
        </w:rPr>
        <w:t xml:space="preserve">structure </w:t>
      </w:r>
      <w:r w:rsidR="0067154E" w:rsidRPr="00B3329E">
        <w:rPr>
          <w:rFonts w:ascii="Tahoma" w:hAnsi="Tahoma" w:cs="Tahoma"/>
          <w:color w:val="000000" w:themeColor="text1"/>
        </w:rPr>
        <w:t>does not provide diversification benefits</w:t>
      </w:r>
      <w:r w:rsidR="003A4677" w:rsidRPr="00B3329E">
        <w:rPr>
          <w:rFonts w:ascii="Tahoma" w:hAnsi="Tahoma" w:cs="Tahoma"/>
          <w:color w:val="000000" w:themeColor="text1"/>
        </w:rPr>
        <w:t>, h</w:t>
      </w:r>
      <w:r w:rsidR="008E547A" w:rsidRPr="00B3329E">
        <w:rPr>
          <w:rFonts w:ascii="Tahoma" w:hAnsi="Tahoma" w:cs="Tahoma"/>
          <w:color w:val="000000" w:themeColor="text1"/>
        </w:rPr>
        <w:t>owever, there</w:t>
      </w:r>
      <w:r w:rsidR="00446883" w:rsidRPr="00B3329E">
        <w:rPr>
          <w:rFonts w:ascii="Tahoma" w:hAnsi="Tahoma" w:cs="Tahoma"/>
          <w:color w:val="000000" w:themeColor="text1"/>
        </w:rPr>
        <w:t xml:space="preserve"> are some flaws with</w:t>
      </w:r>
      <w:r w:rsidR="008E547A" w:rsidRPr="00B3329E">
        <w:rPr>
          <w:rFonts w:ascii="Tahoma" w:hAnsi="Tahoma" w:cs="Tahoma"/>
          <w:color w:val="000000" w:themeColor="text1"/>
        </w:rPr>
        <w:t>in</w:t>
      </w:r>
      <w:r w:rsidR="00446883" w:rsidRPr="00B3329E">
        <w:rPr>
          <w:rFonts w:ascii="Tahoma" w:hAnsi="Tahoma" w:cs="Tahoma"/>
          <w:color w:val="000000" w:themeColor="text1"/>
        </w:rPr>
        <w:t xml:space="preserve"> th</w:t>
      </w:r>
      <w:r w:rsidR="008E547A" w:rsidRPr="00B3329E">
        <w:rPr>
          <w:rFonts w:ascii="Tahoma" w:hAnsi="Tahoma" w:cs="Tahoma"/>
          <w:color w:val="000000" w:themeColor="text1"/>
        </w:rPr>
        <w:t xml:space="preserve">eir </w:t>
      </w:r>
      <w:r w:rsidR="00446883" w:rsidRPr="00B3329E">
        <w:rPr>
          <w:rFonts w:ascii="Tahoma" w:hAnsi="Tahoma" w:cs="Tahoma"/>
          <w:color w:val="000000" w:themeColor="text1"/>
        </w:rPr>
        <w:t>approach</w:t>
      </w:r>
      <w:r w:rsidR="003A4677" w:rsidRPr="00B3329E">
        <w:rPr>
          <w:rFonts w:ascii="Tahoma" w:hAnsi="Tahoma" w:cs="Tahoma"/>
          <w:color w:val="000000" w:themeColor="text1"/>
        </w:rPr>
        <w:t>.</w:t>
      </w:r>
      <w:r w:rsidR="0067154E" w:rsidRPr="00B3329E">
        <w:rPr>
          <w:rFonts w:ascii="Tahoma" w:hAnsi="Tahoma" w:cs="Tahoma"/>
          <w:color w:val="000000" w:themeColor="text1"/>
        </w:rPr>
        <w:t xml:space="preserve"> </w:t>
      </w:r>
      <w:r w:rsidR="008E547A" w:rsidRPr="00B3329E">
        <w:rPr>
          <w:rFonts w:ascii="Tahoma" w:hAnsi="Tahoma" w:cs="Tahoma"/>
          <w:color w:val="000000" w:themeColor="text1"/>
        </w:rPr>
        <w:t>F</w:t>
      </w:r>
      <w:r w:rsidR="00773EC7" w:rsidRPr="00B3329E">
        <w:rPr>
          <w:rFonts w:ascii="Tahoma" w:hAnsi="Tahoma" w:cs="Tahoma"/>
          <w:color w:val="000000" w:themeColor="text1"/>
        </w:rPr>
        <w:t xml:space="preserve">irstly, </w:t>
      </w:r>
      <w:r w:rsidR="002328F0" w:rsidRPr="00B3329E">
        <w:rPr>
          <w:rFonts w:ascii="Tahoma" w:hAnsi="Tahoma" w:cs="Tahoma"/>
          <w:color w:val="000000" w:themeColor="text1"/>
        </w:rPr>
        <w:t xml:space="preserve">a </w:t>
      </w:r>
      <w:r w:rsidR="003A4677" w:rsidRPr="00B3329E">
        <w:rPr>
          <w:rFonts w:ascii="Tahoma" w:hAnsi="Tahoma" w:cs="Tahoma"/>
          <w:color w:val="000000" w:themeColor="text1"/>
        </w:rPr>
        <w:t xml:space="preserve">well-understood </w:t>
      </w:r>
      <w:r w:rsidR="008E547A" w:rsidRPr="00B3329E">
        <w:rPr>
          <w:rFonts w:ascii="Tahoma" w:hAnsi="Tahoma" w:cs="Tahoma"/>
          <w:color w:val="000000" w:themeColor="text1"/>
        </w:rPr>
        <w:t>limitation</w:t>
      </w:r>
      <w:r w:rsidR="002328F0" w:rsidRPr="00B3329E">
        <w:rPr>
          <w:rFonts w:ascii="Tahoma" w:hAnsi="Tahoma" w:cs="Tahoma"/>
          <w:color w:val="000000" w:themeColor="text1"/>
        </w:rPr>
        <w:t xml:space="preserve"> of </w:t>
      </w:r>
      <w:r w:rsidR="002038D8" w:rsidRPr="00B3329E">
        <w:rPr>
          <w:rFonts w:ascii="Tahoma" w:hAnsi="Tahoma" w:cs="Tahoma"/>
          <w:color w:val="000000" w:themeColor="text1"/>
        </w:rPr>
        <w:t>MVO</w:t>
      </w:r>
      <w:r w:rsidR="008F2F58" w:rsidRPr="00B3329E">
        <w:rPr>
          <w:rFonts w:ascii="Tahoma" w:hAnsi="Tahoma" w:cs="Tahoma"/>
          <w:color w:val="000000" w:themeColor="text1"/>
        </w:rPr>
        <w:t>s is the</w:t>
      </w:r>
      <w:r w:rsidR="002328F0" w:rsidRPr="00B3329E">
        <w:rPr>
          <w:rFonts w:ascii="Tahoma" w:hAnsi="Tahoma" w:cs="Tahoma"/>
          <w:color w:val="000000" w:themeColor="text1"/>
        </w:rPr>
        <w:t xml:space="preserve"> tendency </w:t>
      </w:r>
      <w:r w:rsidR="008F2F58" w:rsidRPr="00B3329E">
        <w:rPr>
          <w:rFonts w:ascii="Tahoma" w:hAnsi="Tahoma" w:cs="Tahoma"/>
          <w:color w:val="000000" w:themeColor="text1"/>
        </w:rPr>
        <w:t xml:space="preserve">for </w:t>
      </w:r>
      <w:r w:rsidR="00182D1F" w:rsidRPr="00B3329E">
        <w:rPr>
          <w:rFonts w:ascii="Tahoma" w:hAnsi="Tahoma" w:cs="Tahoma"/>
          <w:color w:val="000000" w:themeColor="text1"/>
        </w:rPr>
        <w:t>recommend</w:t>
      </w:r>
      <w:r w:rsidR="008F2F58" w:rsidRPr="00B3329E">
        <w:rPr>
          <w:rFonts w:ascii="Tahoma" w:hAnsi="Tahoma" w:cs="Tahoma"/>
          <w:color w:val="000000" w:themeColor="text1"/>
        </w:rPr>
        <w:t>ations of un-diversified</w:t>
      </w:r>
      <w:r w:rsidR="002328F0" w:rsidRPr="00B3329E">
        <w:rPr>
          <w:rFonts w:ascii="Tahoma" w:hAnsi="Tahoma" w:cs="Tahoma"/>
          <w:color w:val="000000" w:themeColor="text1"/>
        </w:rPr>
        <w:t xml:space="preserve"> </w:t>
      </w:r>
      <w:r w:rsidR="00182D1F" w:rsidRPr="00B3329E">
        <w:rPr>
          <w:rFonts w:ascii="Tahoma" w:hAnsi="Tahoma" w:cs="Tahoma"/>
          <w:color w:val="000000" w:themeColor="text1"/>
        </w:rPr>
        <w:t>portfolios with</w:t>
      </w:r>
      <w:r w:rsidR="0067154E" w:rsidRPr="00B3329E">
        <w:rPr>
          <w:rFonts w:ascii="Tahoma" w:hAnsi="Tahoma" w:cs="Tahoma"/>
          <w:color w:val="000000" w:themeColor="text1"/>
        </w:rPr>
        <w:t xml:space="preserve"> </w:t>
      </w:r>
      <w:r w:rsidR="00446883" w:rsidRPr="00B3329E">
        <w:rPr>
          <w:rFonts w:ascii="Tahoma" w:hAnsi="Tahoma" w:cs="Tahoma"/>
          <w:color w:val="000000" w:themeColor="text1"/>
        </w:rPr>
        <w:t>very</w:t>
      </w:r>
      <w:r w:rsidR="002038D8" w:rsidRPr="00B3329E">
        <w:rPr>
          <w:rFonts w:ascii="Tahoma" w:hAnsi="Tahoma" w:cs="Tahoma"/>
          <w:color w:val="000000" w:themeColor="text1"/>
        </w:rPr>
        <w:t xml:space="preserve"> large weights </w:t>
      </w:r>
      <w:r w:rsidR="00182D1F" w:rsidRPr="00B3329E">
        <w:rPr>
          <w:rFonts w:ascii="Tahoma" w:hAnsi="Tahoma" w:cs="Tahoma"/>
          <w:color w:val="000000" w:themeColor="text1"/>
        </w:rPr>
        <w:t>to just a few assets</w:t>
      </w:r>
      <w:r w:rsidR="002328F0" w:rsidRPr="00B3329E">
        <w:rPr>
          <w:rFonts w:ascii="Tahoma" w:hAnsi="Tahoma" w:cs="Tahoma"/>
          <w:color w:val="000000" w:themeColor="text1"/>
        </w:rPr>
        <w:t xml:space="preserve">, which </w:t>
      </w:r>
      <w:r w:rsidR="00446883" w:rsidRPr="00B3329E">
        <w:rPr>
          <w:rFonts w:ascii="Tahoma" w:hAnsi="Tahoma" w:cs="Tahoma"/>
          <w:color w:val="000000" w:themeColor="text1"/>
        </w:rPr>
        <w:t>makes the condition of asset class inclusion an inappropriate test</w:t>
      </w:r>
      <w:r w:rsidR="00182D1F" w:rsidRPr="00B3329E">
        <w:rPr>
          <w:rFonts w:ascii="Tahoma" w:hAnsi="Tahoma" w:cs="Tahoma"/>
          <w:color w:val="000000" w:themeColor="text1"/>
        </w:rPr>
        <w:t xml:space="preserve"> for </w:t>
      </w:r>
      <w:r w:rsidR="0067154E" w:rsidRPr="00B3329E">
        <w:rPr>
          <w:rFonts w:ascii="Tahoma" w:hAnsi="Tahoma" w:cs="Tahoma"/>
          <w:color w:val="000000" w:themeColor="text1"/>
        </w:rPr>
        <w:t>diversification</w:t>
      </w:r>
      <w:r w:rsidR="008E547A" w:rsidRPr="00B3329E">
        <w:rPr>
          <w:rFonts w:ascii="Tahoma" w:hAnsi="Tahoma" w:cs="Tahoma"/>
          <w:color w:val="000000" w:themeColor="text1"/>
        </w:rPr>
        <w:t>.  It is recommended that minimum diversification constraints are imposed</w:t>
      </w:r>
      <w:r w:rsidR="008F2F58" w:rsidRPr="00B3329E">
        <w:rPr>
          <w:rFonts w:ascii="Tahoma" w:hAnsi="Tahoma" w:cs="Tahoma"/>
          <w:color w:val="000000" w:themeColor="text1"/>
        </w:rPr>
        <w:t xml:space="preserve"> on the MVO tool in order for realistic,</w:t>
      </w:r>
      <w:r w:rsidR="008E547A" w:rsidRPr="00B3329E">
        <w:rPr>
          <w:rFonts w:ascii="Tahoma" w:hAnsi="Tahoma" w:cs="Tahoma"/>
          <w:color w:val="000000" w:themeColor="text1"/>
        </w:rPr>
        <w:t xml:space="preserve"> investible portfolio to be recommended</w:t>
      </w:r>
      <w:r w:rsidR="00182D1F" w:rsidRPr="00B3329E">
        <w:rPr>
          <w:rFonts w:ascii="Tahoma" w:hAnsi="Tahoma" w:cs="Tahoma"/>
          <w:color w:val="000000" w:themeColor="text1"/>
        </w:rPr>
        <w:t xml:space="preserve"> (J. Lin, 2013)</w:t>
      </w:r>
      <w:r w:rsidR="0067154E" w:rsidRPr="00B3329E">
        <w:rPr>
          <w:rFonts w:ascii="Tahoma" w:hAnsi="Tahoma" w:cs="Tahoma"/>
          <w:color w:val="000000" w:themeColor="text1"/>
        </w:rPr>
        <w:t xml:space="preserve">.  </w:t>
      </w:r>
      <w:r w:rsidR="002B56B2" w:rsidRPr="00B3329E">
        <w:rPr>
          <w:rFonts w:ascii="Tahoma" w:hAnsi="Tahoma" w:cs="Tahoma"/>
          <w:color w:val="000000" w:themeColor="text1"/>
        </w:rPr>
        <w:t xml:space="preserve">Secondly, </w:t>
      </w:r>
      <w:r w:rsidR="008E547A" w:rsidRPr="00B3329E">
        <w:rPr>
          <w:rFonts w:ascii="Tahoma" w:hAnsi="Tahoma" w:cs="Tahoma"/>
          <w:color w:val="000000" w:themeColor="text1"/>
        </w:rPr>
        <w:t>the authors’ use of a 1</w:t>
      </w:r>
      <w:r w:rsidR="00B35701" w:rsidRPr="00B3329E">
        <w:rPr>
          <w:rFonts w:ascii="Tahoma" w:hAnsi="Tahoma" w:cs="Tahoma"/>
          <w:color w:val="000000" w:themeColor="text1"/>
        </w:rPr>
        <w:t>5</w:t>
      </w:r>
      <w:r w:rsidR="008E547A" w:rsidRPr="00B3329E">
        <w:rPr>
          <w:rFonts w:ascii="Tahoma" w:hAnsi="Tahoma" w:cs="Tahoma"/>
          <w:color w:val="000000" w:themeColor="text1"/>
        </w:rPr>
        <w:t xml:space="preserve"> year </w:t>
      </w:r>
      <w:r w:rsidR="008F2F58" w:rsidRPr="00B3329E">
        <w:rPr>
          <w:rFonts w:ascii="Tahoma" w:hAnsi="Tahoma" w:cs="Tahoma"/>
          <w:color w:val="000000" w:themeColor="text1"/>
        </w:rPr>
        <w:t>time period is too long to study active funds as there is only</w:t>
      </w:r>
      <w:r w:rsidR="008E547A" w:rsidRPr="00B3329E">
        <w:rPr>
          <w:rFonts w:ascii="Tahoma" w:hAnsi="Tahoma" w:cs="Tahoma"/>
          <w:color w:val="000000" w:themeColor="text1"/>
        </w:rPr>
        <w:t xml:space="preserve"> one fund with </w:t>
      </w:r>
      <w:r w:rsidR="008F2F58" w:rsidRPr="00B3329E">
        <w:rPr>
          <w:rFonts w:ascii="Tahoma" w:hAnsi="Tahoma" w:cs="Tahoma"/>
          <w:color w:val="000000" w:themeColor="text1"/>
        </w:rPr>
        <w:t>enough track</w:t>
      </w:r>
      <w:r w:rsidR="008E547A" w:rsidRPr="00B3329E">
        <w:rPr>
          <w:rFonts w:ascii="Tahoma" w:hAnsi="Tahoma" w:cs="Tahoma"/>
          <w:color w:val="000000" w:themeColor="text1"/>
        </w:rPr>
        <w:t xml:space="preserve"> record</w:t>
      </w:r>
      <w:r w:rsidR="00F325A3" w:rsidRPr="00B3329E">
        <w:rPr>
          <w:rFonts w:ascii="Tahoma" w:hAnsi="Tahoma" w:cs="Tahoma"/>
          <w:color w:val="000000" w:themeColor="text1"/>
        </w:rPr>
        <w:t>,</w:t>
      </w:r>
      <w:r w:rsidR="008F2F58" w:rsidRPr="00B3329E">
        <w:rPr>
          <w:rFonts w:ascii="Tahoma" w:hAnsi="Tahoma" w:cs="Tahoma"/>
          <w:color w:val="000000" w:themeColor="text1"/>
        </w:rPr>
        <w:t xml:space="preserve"> so this </w:t>
      </w:r>
      <w:r w:rsidR="008E547A" w:rsidRPr="00B3329E">
        <w:rPr>
          <w:rFonts w:ascii="Tahoma" w:hAnsi="Tahoma" w:cs="Tahoma"/>
          <w:color w:val="000000" w:themeColor="text1"/>
        </w:rPr>
        <w:t>sample</w:t>
      </w:r>
      <w:r w:rsidR="008F2F58" w:rsidRPr="00B3329E">
        <w:rPr>
          <w:rFonts w:ascii="Tahoma" w:hAnsi="Tahoma" w:cs="Tahoma"/>
          <w:color w:val="000000" w:themeColor="text1"/>
        </w:rPr>
        <w:t xml:space="preserve"> </w:t>
      </w:r>
      <w:r w:rsidR="00F325A3" w:rsidRPr="00B3329E">
        <w:rPr>
          <w:rFonts w:ascii="Tahoma" w:hAnsi="Tahoma" w:cs="Tahoma"/>
          <w:color w:val="000000" w:themeColor="text1"/>
        </w:rPr>
        <w:t>may be</w:t>
      </w:r>
      <w:r w:rsidR="008F2F58" w:rsidRPr="00B3329E">
        <w:rPr>
          <w:rFonts w:ascii="Tahoma" w:hAnsi="Tahoma" w:cs="Tahoma"/>
          <w:color w:val="000000" w:themeColor="text1"/>
        </w:rPr>
        <w:t xml:space="preserve"> a poor </w:t>
      </w:r>
      <w:r w:rsidR="008E547A" w:rsidRPr="00B3329E">
        <w:rPr>
          <w:rFonts w:ascii="Tahoma" w:hAnsi="Tahoma" w:cs="Tahoma"/>
          <w:color w:val="000000" w:themeColor="text1"/>
        </w:rPr>
        <w:t>representati</w:t>
      </w:r>
      <w:r w:rsidR="00F325A3" w:rsidRPr="00B3329E">
        <w:rPr>
          <w:rFonts w:ascii="Tahoma" w:hAnsi="Tahoma" w:cs="Tahoma"/>
          <w:color w:val="000000" w:themeColor="text1"/>
        </w:rPr>
        <w:t>on</w:t>
      </w:r>
      <w:r w:rsidR="008E547A" w:rsidRPr="00B3329E">
        <w:rPr>
          <w:rFonts w:ascii="Tahoma" w:hAnsi="Tahoma" w:cs="Tahoma"/>
          <w:color w:val="000000" w:themeColor="text1"/>
        </w:rPr>
        <w:t xml:space="preserve"> of the population</w:t>
      </w:r>
      <w:r w:rsidR="008F2F58" w:rsidRPr="00B3329E">
        <w:rPr>
          <w:rFonts w:ascii="Tahoma" w:hAnsi="Tahoma" w:cs="Tahoma"/>
          <w:color w:val="000000" w:themeColor="text1"/>
        </w:rPr>
        <w:t xml:space="preserve"> with misleading results</w:t>
      </w:r>
      <w:r w:rsidR="008E547A" w:rsidRPr="00B3329E">
        <w:rPr>
          <w:rFonts w:ascii="Tahoma" w:hAnsi="Tahoma" w:cs="Tahoma"/>
          <w:color w:val="000000" w:themeColor="text1"/>
        </w:rPr>
        <w:t>.</w:t>
      </w:r>
      <w:r w:rsidRPr="00B3329E">
        <w:rPr>
          <w:rFonts w:ascii="Tahoma" w:hAnsi="Tahoma" w:cs="Tahoma"/>
          <w:color w:val="000000" w:themeColor="text1"/>
        </w:rPr>
        <w:t xml:space="preserve">  </w:t>
      </w:r>
    </w:p>
    <w:p w:rsidR="00F325A3" w:rsidRPr="00B3329E" w:rsidRDefault="00F325A3" w:rsidP="00EA6483">
      <w:pPr>
        <w:spacing w:after="0"/>
        <w:rPr>
          <w:rFonts w:ascii="Tahoma" w:hAnsi="Tahoma" w:cs="Tahoma"/>
          <w:color w:val="000000" w:themeColor="text1"/>
        </w:rPr>
      </w:pPr>
    </w:p>
    <w:p w:rsidR="00F35E1E" w:rsidRPr="00B3329E" w:rsidRDefault="00436453" w:rsidP="00EA6483">
      <w:pPr>
        <w:spacing w:after="0"/>
        <w:rPr>
          <w:rFonts w:ascii="Tahoma" w:hAnsi="Tahoma" w:cs="Tahoma"/>
          <w:color w:val="000000" w:themeColor="text1"/>
        </w:rPr>
      </w:pPr>
      <w:r w:rsidRPr="00B3329E">
        <w:rPr>
          <w:rFonts w:ascii="Tahoma" w:hAnsi="Tahoma" w:cs="Tahoma"/>
          <w:color w:val="000000" w:themeColor="text1"/>
        </w:rPr>
        <w:t>In some cases, th</w:t>
      </w:r>
      <w:r w:rsidR="00F35E1E" w:rsidRPr="00B3329E">
        <w:rPr>
          <w:rFonts w:ascii="Tahoma" w:hAnsi="Tahoma" w:cs="Tahoma"/>
          <w:color w:val="000000" w:themeColor="text1"/>
        </w:rPr>
        <w:t xml:space="preserve">e studies that have reached negative conclusions on </w:t>
      </w:r>
      <w:r w:rsidRPr="00B3329E">
        <w:rPr>
          <w:rFonts w:ascii="Tahoma" w:hAnsi="Tahoma" w:cs="Tahoma"/>
          <w:color w:val="000000" w:themeColor="text1"/>
        </w:rPr>
        <w:t>listed infrastructure</w:t>
      </w:r>
      <w:r w:rsidR="00F35E1E" w:rsidRPr="00B3329E">
        <w:rPr>
          <w:rFonts w:ascii="Tahoma" w:hAnsi="Tahoma" w:cs="Tahoma"/>
          <w:color w:val="000000" w:themeColor="text1"/>
        </w:rPr>
        <w:t xml:space="preserve"> have done so using flawed methodologies and data sets that are either small or potentially subject to data-mining in order to reach the conclusions.</w:t>
      </w:r>
      <w:r w:rsidRPr="00B3329E">
        <w:rPr>
          <w:rFonts w:ascii="Tahoma" w:hAnsi="Tahoma" w:cs="Tahoma"/>
          <w:color w:val="000000" w:themeColor="text1"/>
        </w:rPr>
        <w:t xml:space="preserve">  However, there are other areas within these studies that simply reach different conclusions about the same asset class using similar methods and samples to earlier studies that reached positive conclusions so this inconsistency </w:t>
      </w:r>
      <w:r w:rsidR="0004343D">
        <w:rPr>
          <w:rFonts w:ascii="Tahoma" w:hAnsi="Tahoma" w:cs="Tahoma"/>
          <w:color w:val="000000" w:themeColor="text1"/>
        </w:rPr>
        <w:t xml:space="preserve">is problematic </w:t>
      </w:r>
      <w:r w:rsidRPr="00B3329E">
        <w:rPr>
          <w:rFonts w:ascii="Tahoma" w:hAnsi="Tahoma" w:cs="Tahoma"/>
          <w:color w:val="000000" w:themeColor="text1"/>
        </w:rPr>
        <w:t xml:space="preserve"> for reaching an overall conclusion.</w:t>
      </w:r>
    </w:p>
    <w:p w:rsidR="00F35E1E" w:rsidRPr="00B3329E" w:rsidRDefault="00F35E1E"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145F59" w:rsidRPr="00B3329E" w:rsidRDefault="009E07CA" w:rsidP="00A426E5">
      <w:pPr>
        <w:pStyle w:val="2"/>
        <w:rPr>
          <w:rFonts w:cs="Tahoma"/>
          <w:color w:val="000000" w:themeColor="text1"/>
        </w:rPr>
      </w:pPr>
      <w:bookmarkStart w:id="10" w:name="_Toc523311341"/>
      <w:r w:rsidRPr="00B3329E">
        <w:rPr>
          <w:rFonts w:cs="Tahoma"/>
          <w:color w:val="000000" w:themeColor="text1"/>
        </w:rPr>
        <w:t xml:space="preserve">2.3. </w:t>
      </w:r>
      <w:bookmarkEnd w:id="10"/>
      <w:r w:rsidR="004C2C63">
        <w:rPr>
          <w:rFonts w:cs="Tahoma"/>
          <w:color w:val="000000" w:themeColor="text1"/>
        </w:rPr>
        <w:t>Mixed asset class and diversification findings</w:t>
      </w:r>
    </w:p>
    <w:p w:rsidR="002B56B2" w:rsidRPr="00B3329E" w:rsidRDefault="002B56B2" w:rsidP="00EA6483">
      <w:pPr>
        <w:spacing w:after="0"/>
        <w:rPr>
          <w:rFonts w:ascii="Tahoma" w:hAnsi="Tahoma" w:cs="Tahoma"/>
          <w:color w:val="000000" w:themeColor="text1"/>
        </w:rPr>
      </w:pPr>
    </w:p>
    <w:p w:rsidR="00F325A3" w:rsidRPr="00B3329E" w:rsidRDefault="00611463" w:rsidP="00F325A3">
      <w:pPr>
        <w:spacing w:after="0"/>
        <w:rPr>
          <w:rFonts w:ascii="Tahoma" w:hAnsi="Tahoma" w:cs="Tahoma"/>
          <w:color w:val="000000" w:themeColor="text1"/>
        </w:rPr>
      </w:pPr>
      <w:r w:rsidRPr="00B3329E">
        <w:rPr>
          <w:rFonts w:ascii="Tahoma" w:hAnsi="Tahoma" w:cs="Tahoma"/>
          <w:color w:val="000000" w:themeColor="text1"/>
        </w:rPr>
        <w:t>Through the previously mentioned studies it can be seen that research</w:t>
      </w:r>
      <w:r w:rsidR="00E40653" w:rsidRPr="00B3329E">
        <w:rPr>
          <w:rFonts w:ascii="Tahoma" w:hAnsi="Tahoma" w:cs="Tahoma"/>
          <w:color w:val="000000" w:themeColor="text1"/>
        </w:rPr>
        <w:t>e</w:t>
      </w:r>
      <w:r w:rsidRPr="00B3329E">
        <w:rPr>
          <w:rFonts w:ascii="Tahoma" w:hAnsi="Tahoma" w:cs="Tahoma"/>
          <w:color w:val="000000" w:themeColor="text1"/>
        </w:rPr>
        <w:t>rs hav</w:t>
      </w:r>
      <w:r w:rsidR="00E40653" w:rsidRPr="00B3329E">
        <w:rPr>
          <w:rFonts w:ascii="Tahoma" w:hAnsi="Tahoma" w:cs="Tahoma"/>
          <w:color w:val="000000" w:themeColor="text1"/>
        </w:rPr>
        <w:t xml:space="preserve">e reached </w:t>
      </w:r>
      <w:r w:rsidR="001412B8" w:rsidRPr="00B3329E">
        <w:rPr>
          <w:rFonts w:ascii="Tahoma" w:hAnsi="Tahoma" w:cs="Tahoma"/>
          <w:color w:val="000000" w:themeColor="text1"/>
        </w:rPr>
        <w:t xml:space="preserve">very </w:t>
      </w:r>
      <w:r w:rsidR="00E40653" w:rsidRPr="00B3329E">
        <w:rPr>
          <w:rFonts w:ascii="Tahoma" w:hAnsi="Tahoma" w:cs="Tahoma"/>
          <w:color w:val="000000" w:themeColor="text1"/>
        </w:rPr>
        <w:t xml:space="preserve">different conclusions.  </w:t>
      </w:r>
      <w:r w:rsidR="00F325A3" w:rsidRPr="00B3329E">
        <w:rPr>
          <w:rFonts w:ascii="Tahoma" w:hAnsi="Tahoma" w:cs="Tahoma"/>
          <w:color w:val="000000" w:themeColor="text1"/>
        </w:rPr>
        <w:t>This</w:t>
      </w:r>
      <w:r w:rsidR="00E40653" w:rsidRPr="00B3329E">
        <w:rPr>
          <w:rFonts w:ascii="Tahoma" w:hAnsi="Tahoma" w:cs="Tahoma"/>
          <w:color w:val="000000" w:themeColor="text1"/>
        </w:rPr>
        <w:t xml:space="preserve"> </w:t>
      </w:r>
      <w:r w:rsidR="00F325A3" w:rsidRPr="00B3329E">
        <w:rPr>
          <w:rFonts w:ascii="Tahoma" w:hAnsi="Tahoma" w:cs="Tahoma"/>
          <w:color w:val="000000" w:themeColor="text1"/>
        </w:rPr>
        <w:t>may to be due to the authors</w:t>
      </w:r>
      <w:r w:rsidR="001412B8" w:rsidRPr="00B3329E">
        <w:rPr>
          <w:rFonts w:ascii="Tahoma" w:hAnsi="Tahoma" w:cs="Tahoma"/>
          <w:color w:val="000000" w:themeColor="text1"/>
        </w:rPr>
        <w:t>’</w:t>
      </w:r>
      <w:r w:rsidR="00F325A3" w:rsidRPr="00B3329E">
        <w:rPr>
          <w:rFonts w:ascii="Tahoma" w:hAnsi="Tahoma" w:cs="Tahoma"/>
          <w:color w:val="000000" w:themeColor="text1"/>
        </w:rPr>
        <w:t xml:space="preserve"> desire to make strong, </w:t>
      </w:r>
      <w:r w:rsidR="001412B8" w:rsidRPr="00B3329E">
        <w:rPr>
          <w:rFonts w:ascii="Tahoma" w:hAnsi="Tahoma" w:cs="Tahoma"/>
          <w:color w:val="000000" w:themeColor="text1"/>
        </w:rPr>
        <w:t xml:space="preserve">conclusive, </w:t>
      </w:r>
      <w:r w:rsidR="00F325A3" w:rsidRPr="00B3329E">
        <w:rPr>
          <w:rFonts w:ascii="Tahoma" w:hAnsi="Tahoma" w:cs="Tahoma"/>
          <w:color w:val="000000" w:themeColor="text1"/>
        </w:rPr>
        <w:t xml:space="preserve">generalisations </w:t>
      </w:r>
      <w:r w:rsidR="001412B8" w:rsidRPr="00B3329E">
        <w:rPr>
          <w:rFonts w:ascii="Tahoma" w:hAnsi="Tahoma" w:cs="Tahoma"/>
          <w:color w:val="000000" w:themeColor="text1"/>
        </w:rPr>
        <w:t xml:space="preserve">where it is not really possible.  </w:t>
      </w:r>
      <w:r w:rsidR="00F325A3" w:rsidRPr="00B3329E">
        <w:rPr>
          <w:rFonts w:ascii="Tahoma" w:hAnsi="Tahoma" w:cs="Tahoma"/>
          <w:color w:val="000000" w:themeColor="text1"/>
        </w:rPr>
        <w:t>Panayiotou and Medda (2014) challenge prior research that assumes infra</w:t>
      </w:r>
      <w:r w:rsidR="001412B8" w:rsidRPr="00B3329E">
        <w:rPr>
          <w:rFonts w:ascii="Tahoma" w:hAnsi="Tahoma" w:cs="Tahoma"/>
          <w:color w:val="000000" w:themeColor="text1"/>
        </w:rPr>
        <w:t>structure</w:t>
      </w:r>
      <w:r w:rsidR="00F325A3" w:rsidRPr="00B3329E">
        <w:rPr>
          <w:rFonts w:ascii="Tahoma" w:hAnsi="Tahoma" w:cs="Tahoma"/>
          <w:color w:val="000000" w:themeColor="text1"/>
        </w:rPr>
        <w:t xml:space="preserve"> is a homogenous asset class and</w:t>
      </w:r>
      <w:r w:rsidR="001412B8" w:rsidRPr="00B3329E">
        <w:rPr>
          <w:rFonts w:ascii="Tahoma" w:hAnsi="Tahoma" w:cs="Tahoma"/>
          <w:color w:val="000000" w:themeColor="text1"/>
        </w:rPr>
        <w:t xml:space="preserve"> the </w:t>
      </w:r>
      <w:r w:rsidR="00F325A3" w:rsidRPr="00B3329E">
        <w:rPr>
          <w:rFonts w:ascii="Tahoma" w:hAnsi="Tahoma" w:cs="Tahoma"/>
          <w:color w:val="000000" w:themeColor="text1"/>
        </w:rPr>
        <w:t xml:space="preserve">generalisations that all sectors have the same </w:t>
      </w:r>
      <w:r w:rsidR="001412B8" w:rsidRPr="00B3329E">
        <w:rPr>
          <w:rFonts w:ascii="Tahoma" w:hAnsi="Tahoma" w:cs="Tahoma"/>
          <w:color w:val="000000" w:themeColor="text1"/>
        </w:rPr>
        <w:t>characteristics</w:t>
      </w:r>
      <w:r w:rsidR="00F325A3" w:rsidRPr="00B3329E">
        <w:rPr>
          <w:rFonts w:ascii="Tahoma" w:hAnsi="Tahoma" w:cs="Tahoma"/>
          <w:color w:val="000000" w:themeColor="text1"/>
        </w:rPr>
        <w:t xml:space="preserve">.  They analysed </w:t>
      </w:r>
      <w:r w:rsidR="001412B8" w:rsidRPr="00B3329E">
        <w:rPr>
          <w:rFonts w:ascii="Tahoma" w:hAnsi="Tahoma" w:cs="Tahoma"/>
          <w:color w:val="000000" w:themeColor="text1"/>
        </w:rPr>
        <w:t>the return</w:t>
      </w:r>
      <w:r w:rsidR="00F325A3" w:rsidRPr="00B3329E">
        <w:rPr>
          <w:rFonts w:ascii="Tahoma" w:hAnsi="Tahoma" w:cs="Tahoma"/>
          <w:color w:val="000000" w:themeColor="text1"/>
        </w:rPr>
        <w:t xml:space="preserve"> profile of each infra</w:t>
      </w:r>
      <w:r w:rsidR="001412B8" w:rsidRPr="00B3329E">
        <w:rPr>
          <w:rFonts w:ascii="Tahoma" w:hAnsi="Tahoma" w:cs="Tahoma"/>
          <w:color w:val="000000" w:themeColor="text1"/>
        </w:rPr>
        <w:t>structure</w:t>
      </w:r>
      <w:r w:rsidR="00F325A3" w:rsidRPr="00B3329E">
        <w:rPr>
          <w:rFonts w:ascii="Tahoma" w:hAnsi="Tahoma" w:cs="Tahoma"/>
          <w:color w:val="000000" w:themeColor="text1"/>
        </w:rPr>
        <w:t xml:space="preserve"> sector and sub</w:t>
      </w:r>
      <w:r w:rsidR="001412B8" w:rsidRPr="00B3329E">
        <w:rPr>
          <w:rFonts w:ascii="Tahoma" w:hAnsi="Tahoma" w:cs="Tahoma"/>
          <w:color w:val="000000" w:themeColor="text1"/>
        </w:rPr>
        <w:t>-</w:t>
      </w:r>
      <w:r w:rsidR="00F325A3" w:rsidRPr="00B3329E">
        <w:rPr>
          <w:rFonts w:ascii="Tahoma" w:hAnsi="Tahoma" w:cs="Tahoma"/>
          <w:color w:val="000000" w:themeColor="text1"/>
        </w:rPr>
        <w:t>sector from 2003-2013 and found significant differences</w:t>
      </w:r>
      <w:r w:rsidR="001412B8" w:rsidRPr="00B3329E">
        <w:rPr>
          <w:rFonts w:ascii="Tahoma" w:hAnsi="Tahoma" w:cs="Tahoma"/>
          <w:color w:val="000000" w:themeColor="text1"/>
        </w:rPr>
        <w:t>.</w:t>
      </w:r>
      <w:r w:rsidR="00F325A3" w:rsidRPr="00B3329E">
        <w:rPr>
          <w:rFonts w:ascii="Tahoma" w:hAnsi="Tahoma" w:cs="Tahoma"/>
          <w:color w:val="000000" w:themeColor="text1"/>
        </w:rPr>
        <w:t xml:space="preserve">  </w:t>
      </w:r>
      <w:r w:rsidR="001412B8" w:rsidRPr="00B3329E">
        <w:rPr>
          <w:rFonts w:ascii="Tahoma" w:hAnsi="Tahoma" w:cs="Tahoma"/>
          <w:color w:val="000000" w:themeColor="text1"/>
        </w:rPr>
        <w:t>They summarise</w:t>
      </w:r>
      <w:r w:rsidR="00F325A3" w:rsidRPr="00B3329E">
        <w:rPr>
          <w:rFonts w:ascii="Tahoma" w:hAnsi="Tahoma" w:cs="Tahoma"/>
          <w:color w:val="000000" w:themeColor="text1"/>
        </w:rPr>
        <w:t xml:space="preserve"> that infrastructure is an asset class comprised of unique projects </w:t>
      </w:r>
      <w:r w:rsidR="001412B8" w:rsidRPr="00B3329E">
        <w:rPr>
          <w:rFonts w:ascii="Tahoma" w:hAnsi="Tahoma" w:cs="Tahoma"/>
          <w:color w:val="000000" w:themeColor="text1"/>
        </w:rPr>
        <w:t>with</w:t>
      </w:r>
      <w:r w:rsidR="00F325A3" w:rsidRPr="00B3329E">
        <w:rPr>
          <w:rFonts w:ascii="Tahoma" w:hAnsi="Tahoma" w:cs="Tahoma"/>
          <w:color w:val="000000" w:themeColor="text1"/>
        </w:rPr>
        <w:t xml:space="preserve"> their own re</w:t>
      </w:r>
      <w:r w:rsidR="001412B8" w:rsidRPr="00B3329E">
        <w:rPr>
          <w:rFonts w:ascii="Tahoma" w:hAnsi="Tahoma" w:cs="Tahoma"/>
          <w:color w:val="000000" w:themeColor="text1"/>
        </w:rPr>
        <w:t xml:space="preserve">turn drivers, </w:t>
      </w:r>
      <w:r w:rsidR="00F325A3" w:rsidRPr="00B3329E">
        <w:rPr>
          <w:rFonts w:ascii="Tahoma" w:hAnsi="Tahoma" w:cs="Tahoma"/>
          <w:color w:val="000000" w:themeColor="text1"/>
        </w:rPr>
        <w:t xml:space="preserve">which is </w:t>
      </w:r>
      <w:r w:rsidR="001412B8" w:rsidRPr="00B3329E">
        <w:rPr>
          <w:rFonts w:ascii="Tahoma" w:hAnsi="Tahoma" w:cs="Tahoma"/>
          <w:color w:val="000000" w:themeColor="text1"/>
        </w:rPr>
        <w:t xml:space="preserve">based off similar findings to </w:t>
      </w:r>
      <w:r w:rsidR="00F325A3" w:rsidRPr="00B3329E">
        <w:rPr>
          <w:rFonts w:ascii="Tahoma" w:hAnsi="Tahoma" w:cs="Tahoma"/>
          <w:color w:val="000000" w:themeColor="text1"/>
        </w:rPr>
        <w:t>Rothballer and Kaserer (2012) factor analysis</w:t>
      </w:r>
      <w:r w:rsidR="001412B8" w:rsidRPr="00B3329E">
        <w:rPr>
          <w:rFonts w:ascii="Tahoma" w:hAnsi="Tahoma" w:cs="Tahoma"/>
          <w:color w:val="000000" w:themeColor="text1"/>
        </w:rPr>
        <w:t xml:space="preserve"> study, but more nuanced in its conclusion.</w:t>
      </w:r>
    </w:p>
    <w:p w:rsidR="00F325A3" w:rsidRPr="00B3329E" w:rsidRDefault="00F325A3" w:rsidP="00F325A3">
      <w:pPr>
        <w:spacing w:after="0"/>
        <w:rPr>
          <w:rFonts w:ascii="Tahoma" w:hAnsi="Tahoma" w:cs="Tahoma"/>
          <w:color w:val="000000" w:themeColor="text1"/>
        </w:rPr>
      </w:pPr>
    </w:p>
    <w:p w:rsidR="00F325A3" w:rsidRPr="00B3329E" w:rsidRDefault="00F325A3" w:rsidP="00F325A3">
      <w:pPr>
        <w:spacing w:after="0"/>
        <w:rPr>
          <w:rFonts w:ascii="Tahoma" w:hAnsi="Tahoma" w:cs="Tahoma"/>
          <w:color w:val="000000" w:themeColor="text1"/>
        </w:rPr>
      </w:pPr>
      <w:r w:rsidRPr="00B3329E">
        <w:rPr>
          <w:rFonts w:ascii="Tahoma" w:hAnsi="Tahoma" w:cs="Tahoma"/>
          <w:color w:val="000000" w:themeColor="text1"/>
        </w:rPr>
        <w:t xml:space="preserve">Oyodele’s (2014) study on UK-listed infrastructure </w:t>
      </w:r>
      <w:r w:rsidR="00E92373" w:rsidRPr="00B3329E">
        <w:rPr>
          <w:rFonts w:ascii="Tahoma" w:hAnsi="Tahoma" w:cs="Tahoma"/>
          <w:color w:val="000000" w:themeColor="text1"/>
        </w:rPr>
        <w:t>from</w:t>
      </w:r>
      <w:r w:rsidRPr="00B3329E">
        <w:rPr>
          <w:rFonts w:ascii="Tahoma" w:hAnsi="Tahoma" w:cs="Tahoma"/>
          <w:color w:val="000000" w:themeColor="text1"/>
        </w:rPr>
        <w:t xml:space="preserve"> 2001</w:t>
      </w:r>
      <w:r w:rsidR="00E92373" w:rsidRPr="00B3329E">
        <w:rPr>
          <w:rFonts w:ascii="Tahoma" w:hAnsi="Tahoma" w:cs="Tahoma"/>
          <w:color w:val="000000" w:themeColor="text1"/>
        </w:rPr>
        <w:t>-</w:t>
      </w:r>
      <w:r w:rsidRPr="00B3329E">
        <w:rPr>
          <w:rFonts w:ascii="Tahoma" w:hAnsi="Tahoma" w:cs="Tahoma"/>
          <w:color w:val="000000" w:themeColor="text1"/>
        </w:rPr>
        <w:t xml:space="preserve">2010 found similar dispersion of returns and diversification amongst sectors and </w:t>
      </w:r>
      <w:r w:rsidR="00E92373" w:rsidRPr="00B3329E">
        <w:rPr>
          <w:rFonts w:ascii="Tahoma" w:hAnsi="Tahoma" w:cs="Tahoma"/>
          <w:color w:val="000000" w:themeColor="text1"/>
        </w:rPr>
        <w:t xml:space="preserve">argues </w:t>
      </w:r>
      <w:r w:rsidRPr="00B3329E">
        <w:rPr>
          <w:rFonts w:ascii="Tahoma" w:hAnsi="Tahoma" w:cs="Tahoma"/>
          <w:color w:val="000000" w:themeColor="text1"/>
        </w:rPr>
        <w:t xml:space="preserve">the differences </w:t>
      </w:r>
      <w:r w:rsidR="00E92373" w:rsidRPr="00B3329E">
        <w:rPr>
          <w:rFonts w:ascii="Tahoma" w:hAnsi="Tahoma" w:cs="Tahoma"/>
          <w:color w:val="000000" w:themeColor="text1"/>
        </w:rPr>
        <w:t>are</w:t>
      </w:r>
      <w:r w:rsidRPr="00B3329E">
        <w:rPr>
          <w:rFonts w:ascii="Tahoma" w:hAnsi="Tahoma" w:cs="Tahoma"/>
          <w:color w:val="000000" w:themeColor="text1"/>
        </w:rPr>
        <w:t xml:space="preserve"> consistent wi</w:t>
      </w:r>
      <w:r w:rsidR="00E92373" w:rsidRPr="00B3329E">
        <w:rPr>
          <w:rFonts w:ascii="Tahoma" w:hAnsi="Tahoma" w:cs="Tahoma"/>
          <w:color w:val="000000" w:themeColor="text1"/>
        </w:rPr>
        <w:t xml:space="preserve">th </w:t>
      </w:r>
      <w:r w:rsidR="00E92373" w:rsidRPr="00B3329E">
        <w:rPr>
          <w:rFonts w:ascii="Tahoma" w:hAnsi="Tahoma" w:cs="Tahoma"/>
          <w:color w:val="000000" w:themeColor="text1"/>
        </w:rPr>
        <w:lastRenderedPageBreak/>
        <w:t>the infrastructure narrative -</w:t>
      </w:r>
      <w:r w:rsidRPr="00B3329E">
        <w:rPr>
          <w:rFonts w:ascii="Tahoma" w:hAnsi="Tahoma" w:cs="Tahoma"/>
          <w:color w:val="000000" w:themeColor="text1"/>
        </w:rPr>
        <w:t xml:space="preserve"> when listed investments are exposed to core or unique infrastructure they tend to exhibit more stable returns and diversification benefits.   </w:t>
      </w:r>
    </w:p>
    <w:p w:rsidR="00F325A3" w:rsidRPr="00B3329E" w:rsidRDefault="00F325A3" w:rsidP="00EA6483">
      <w:pPr>
        <w:spacing w:after="0"/>
        <w:rPr>
          <w:rFonts w:ascii="Tahoma" w:hAnsi="Tahoma" w:cs="Tahoma"/>
          <w:color w:val="000000" w:themeColor="text1"/>
        </w:rPr>
      </w:pPr>
    </w:p>
    <w:p w:rsidR="00E92373" w:rsidRPr="00B3329E" w:rsidRDefault="00E92373" w:rsidP="00EA6483">
      <w:pPr>
        <w:spacing w:after="0"/>
        <w:rPr>
          <w:rFonts w:ascii="Tahoma" w:hAnsi="Tahoma" w:cs="Tahoma"/>
          <w:color w:val="000000" w:themeColor="text1"/>
        </w:rPr>
      </w:pPr>
    </w:p>
    <w:p w:rsidR="00CA2821" w:rsidRDefault="00E92373" w:rsidP="000C1F60">
      <w:pPr>
        <w:spacing w:after="0"/>
        <w:rPr>
          <w:rFonts w:ascii="Tahoma" w:eastAsiaTheme="majorEastAsia" w:hAnsi="Tahoma" w:cs="Tahoma"/>
          <w:b/>
          <w:color w:val="000000" w:themeColor="text1"/>
          <w:szCs w:val="32"/>
        </w:rPr>
      </w:pPr>
      <w:r w:rsidRPr="00B3329E">
        <w:rPr>
          <w:rFonts w:ascii="Tahoma" w:hAnsi="Tahoma" w:cs="Tahoma"/>
          <w:color w:val="000000" w:themeColor="text1"/>
        </w:rPr>
        <w:t xml:space="preserve">These studies argue that there is a weak </w:t>
      </w:r>
      <w:r w:rsidR="006C5A17" w:rsidRPr="00B3329E">
        <w:rPr>
          <w:rFonts w:ascii="Tahoma" w:hAnsi="Tahoma" w:cs="Tahoma"/>
          <w:color w:val="000000" w:themeColor="text1"/>
        </w:rPr>
        <w:t xml:space="preserve">case </w:t>
      </w:r>
      <w:r w:rsidRPr="00B3329E">
        <w:rPr>
          <w:rFonts w:ascii="Tahoma" w:hAnsi="Tahoma" w:cs="Tahoma"/>
          <w:color w:val="000000" w:themeColor="text1"/>
        </w:rPr>
        <w:t xml:space="preserve">for </w:t>
      </w:r>
      <w:r w:rsidR="006C5A17" w:rsidRPr="00B3329E">
        <w:rPr>
          <w:rFonts w:ascii="Tahoma" w:hAnsi="Tahoma" w:cs="Tahoma"/>
          <w:color w:val="000000" w:themeColor="text1"/>
        </w:rPr>
        <w:t xml:space="preserve">listed </w:t>
      </w:r>
      <w:r w:rsidRPr="00B3329E">
        <w:rPr>
          <w:rFonts w:ascii="Tahoma" w:hAnsi="Tahoma" w:cs="Tahoma"/>
          <w:color w:val="000000" w:themeColor="text1"/>
        </w:rPr>
        <w:t>infrastructure being a</w:t>
      </w:r>
      <w:r w:rsidR="006C5A17" w:rsidRPr="00B3329E">
        <w:rPr>
          <w:rFonts w:ascii="Tahoma" w:hAnsi="Tahoma" w:cs="Tahoma"/>
          <w:color w:val="000000" w:themeColor="text1"/>
        </w:rPr>
        <w:t>n asset</w:t>
      </w:r>
      <w:r w:rsidRPr="00B3329E">
        <w:rPr>
          <w:rFonts w:ascii="Tahoma" w:hAnsi="Tahoma" w:cs="Tahoma"/>
          <w:color w:val="000000" w:themeColor="text1"/>
        </w:rPr>
        <w:t xml:space="preserve"> class </w:t>
      </w:r>
      <w:r w:rsidR="006C5A17" w:rsidRPr="00B3329E">
        <w:rPr>
          <w:rFonts w:ascii="Tahoma" w:hAnsi="Tahoma" w:cs="Tahoma"/>
          <w:color w:val="000000" w:themeColor="text1"/>
        </w:rPr>
        <w:t xml:space="preserve">in the traditional sense, as defined by Amenc et al (2012), but they </w:t>
      </w:r>
      <w:r w:rsidRPr="00B3329E">
        <w:rPr>
          <w:rFonts w:ascii="Tahoma" w:hAnsi="Tahoma" w:cs="Tahoma"/>
          <w:color w:val="000000" w:themeColor="text1"/>
        </w:rPr>
        <w:t xml:space="preserve">also highlight </w:t>
      </w:r>
      <w:r w:rsidR="006C5A17" w:rsidRPr="00B3329E">
        <w:rPr>
          <w:rFonts w:ascii="Tahoma" w:hAnsi="Tahoma" w:cs="Tahoma"/>
          <w:color w:val="000000" w:themeColor="text1"/>
        </w:rPr>
        <w:t xml:space="preserve">strong </w:t>
      </w:r>
      <w:r w:rsidRPr="00B3329E">
        <w:rPr>
          <w:rFonts w:ascii="Tahoma" w:hAnsi="Tahoma" w:cs="Tahoma"/>
          <w:color w:val="000000" w:themeColor="text1"/>
        </w:rPr>
        <w:t xml:space="preserve">evidence of </w:t>
      </w:r>
      <w:r w:rsidR="00832D91" w:rsidRPr="00B3329E">
        <w:rPr>
          <w:rFonts w:ascii="Tahoma" w:hAnsi="Tahoma" w:cs="Tahoma"/>
          <w:color w:val="000000" w:themeColor="text1"/>
        </w:rPr>
        <w:t>diversification</w:t>
      </w:r>
      <w:r w:rsidRPr="00B3329E">
        <w:rPr>
          <w:rFonts w:ascii="Tahoma" w:hAnsi="Tahoma" w:cs="Tahoma"/>
          <w:color w:val="000000" w:themeColor="text1"/>
        </w:rPr>
        <w:t>,</w:t>
      </w:r>
      <w:r w:rsidR="00832D91" w:rsidRPr="00B3329E">
        <w:rPr>
          <w:rFonts w:ascii="Tahoma" w:hAnsi="Tahoma" w:cs="Tahoma"/>
          <w:color w:val="000000" w:themeColor="text1"/>
        </w:rPr>
        <w:t xml:space="preserve"> </w:t>
      </w:r>
      <w:r w:rsidRPr="00B3329E">
        <w:rPr>
          <w:rFonts w:ascii="Tahoma" w:hAnsi="Tahoma" w:cs="Tahoma"/>
          <w:color w:val="000000" w:themeColor="text1"/>
        </w:rPr>
        <w:t xml:space="preserve">albeit </w:t>
      </w:r>
      <w:r w:rsidR="006C5A17" w:rsidRPr="00B3329E">
        <w:rPr>
          <w:rFonts w:ascii="Tahoma" w:hAnsi="Tahoma" w:cs="Tahoma"/>
          <w:color w:val="000000" w:themeColor="text1"/>
        </w:rPr>
        <w:t xml:space="preserve">possibly </w:t>
      </w:r>
      <w:r w:rsidRPr="00B3329E">
        <w:rPr>
          <w:rFonts w:ascii="Tahoma" w:hAnsi="Tahoma" w:cs="Tahoma"/>
          <w:color w:val="000000" w:themeColor="text1"/>
        </w:rPr>
        <w:t>not</w:t>
      </w:r>
      <w:r w:rsidR="00436453" w:rsidRPr="00B3329E">
        <w:rPr>
          <w:rFonts w:ascii="Tahoma" w:hAnsi="Tahoma" w:cs="Tahoma"/>
          <w:color w:val="000000" w:themeColor="text1"/>
        </w:rPr>
        <w:t xml:space="preserve"> from the </w:t>
      </w:r>
      <w:r w:rsidRPr="00B3329E">
        <w:rPr>
          <w:rFonts w:ascii="Tahoma" w:hAnsi="Tahoma" w:cs="Tahoma"/>
          <w:color w:val="000000" w:themeColor="text1"/>
        </w:rPr>
        <w:t>entire range of investments</w:t>
      </w:r>
      <w:r w:rsidR="00F456EA" w:rsidRPr="00B3329E">
        <w:rPr>
          <w:rFonts w:ascii="Tahoma" w:hAnsi="Tahoma" w:cs="Tahoma"/>
          <w:color w:val="000000" w:themeColor="text1"/>
        </w:rPr>
        <w:t>.</w:t>
      </w:r>
      <w:bookmarkStart w:id="11" w:name="_Toc523311342"/>
      <w:r w:rsidR="00CA2821">
        <w:rPr>
          <w:rFonts w:cs="Tahoma"/>
          <w:color w:val="000000" w:themeColor="text1"/>
        </w:rPr>
        <w:br w:type="page"/>
      </w:r>
    </w:p>
    <w:p w:rsidR="001227DB" w:rsidRPr="00B3329E" w:rsidRDefault="001227DB" w:rsidP="00A426E5">
      <w:pPr>
        <w:pStyle w:val="2"/>
        <w:rPr>
          <w:rFonts w:cs="Tahoma"/>
          <w:color w:val="000000" w:themeColor="text1"/>
        </w:rPr>
      </w:pPr>
      <w:r w:rsidRPr="00B3329E">
        <w:rPr>
          <w:rFonts w:cs="Tahoma"/>
          <w:color w:val="000000" w:themeColor="text1"/>
        </w:rPr>
        <w:lastRenderedPageBreak/>
        <w:t xml:space="preserve">Time </w:t>
      </w:r>
      <w:r w:rsidR="004C2C63">
        <w:rPr>
          <w:rFonts w:cs="Tahoma"/>
          <w:color w:val="000000" w:themeColor="text1"/>
        </w:rPr>
        <w:t>p</w:t>
      </w:r>
      <w:r w:rsidRPr="00B3329E">
        <w:rPr>
          <w:rFonts w:cs="Tahoma"/>
          <w:color w:val="000000" w:themeColor="text1"/>
        </w:rPr>
        <w:t>eriods</w:t>
      </w:r>
      <w:bookmarkEnd w:id="11"/>
    </w:p>
    <w:p w:rsidR="00EA6483" w:rsidRPr="00B3329E" w:rsidRDefault="00EA6483" w:rsidP="00EA6483">
      <w:pPr>
        <w:spacing w:after="0"/>
        <w:rPr>
          <w:rFonts w:ascii="Tahoma" w:hAnsi="Tahoma" w:cs="Tahoma"/>
          <w:color w:val="000000" w:themeColor="text1"/>
        </w:rPr>
      </w:pPr>
    </w:p>
    <w:p w:rsidR="004B6A48" w:rsidRPr="00B3329E" w:rsidRDefault="00C45505" w:rsidP="00EA6483">
      <w:pPr>
        <w:spacing w:after="0"/>
        <w:rPr>
          <w:rFonts w:ascii="Tahoma" w:hAnsi="Tahoma" w:cs="Tahoma"/>
          <w:color w:val="000000" w:themeColor="text1"/>
        </w:rPr>
      </w:pPr>
      <w:r w:rsidRPr="00B3329E">
        <w:rPr>
          <w:rFonts w:ascii="Tahoma" w:hAnsi="Tahoma" w:cs="Tahoma"/>
          <w:color w:val="000000" w:themeColor="text1"/>
        </w:rPr>
        <w:t>In addit</w:t>
      </w:r>
      <w:r w:rsidR="00ED1EB3" w:rsidRPr="00B3329E">
        <w:rPr>
          <w:rFonts w:ascii="Tahoma" w:hAnsi="Tahoma" w:cs="Tahoma"/>
          <w:color w:val="000000" w:themeColor="text1"/>
        </w:rPr>
        <w:t xml:space="preserve">ion to the different approaches, listed infrastructure investments and regions </w:t>
      </w:r>
      <w:r w:rsidRPr="00B3329E">
        <w:rPr>
          <w:rFonts w:ascii="Tahoma" w:hAnsi="Tahoma" w:cs="Tahoma"/>
          <w:color w:val="000000" w:themeColor="text1"/>
        </w:rPr>
        <w:t xml:space="preserve">that </w:t>
      </w:r>
      <w:r w:rsidR="00102AED" w:rsidRPr="00B3329E">
        <w:rPr>
          <w:rFonts w:ascii="Tahoma" w:hAnsi="Tahoma" w:cs="Tahoma"/>
          <w:color w:val="000000" w:themeColor="text1"/>
        </w:rPr>
        <w:t>are</w:t>
      </w:r>
      <w:r w:rsidRPr="00B3329E">
        <w:rPr>
          <w:rFonts w:ascii="Tahoma" w:hAnsi="Tahoma" w:cs="Tahoma"/>
          <w:color w:val="000000" w:themeColor="text1"/>
        </w:rPr>
        <w:t xml:space="preserve"> </w:t>
      </w:r>
      <w:r w:rsidR="00102AED" w:rsidRPr="00B3329E">
        <w:rPr>
          <w:rFonts w:ascii="Tahoma" w:hAnsi="Tahoma" w:cs="Tahoma"/>
          <w:color w:val="000000" w:themeColor="text1"/>
        </w:rPr>
        <w:t>present across studies there is also variation in the time periods that have been studied.</w:t>
      </w:r>
    </w:p>
    <w:p w:rsidR="004B6A48" w:rsidRPr="00B3329E" w:rsidRDefault="004B6A48" w:rsidP="00EA6483">
      <w:pPr>
        <w:spacing w:after="0"/>
        <w:rPr>
          <w:rFonts w:ascii="Tahoma" w:hAnsi="Tahoma" w:cs="Tahoma"/>
          <w:color w:val="000000" w:themeColor="text1"/>
        </w:rPr>
      </w:pPr>
    </w:p>
    <w:p w:rsidR="00EA6483" w:rsidRPr="00B3329E" w:rsidRDefault="00102AED" w:rsidP="00EA6483">
      <w:pPr>
        <w:spacing w:after="0"/>
        <w:rPr>
          <w:rFonts w:ascii="Tahoma" w:hAnsi="Tahoma" w:cs="Tahoma"/>
          <w:color w:val="000000" w:themeColor="text1"/>
        </w:rPr>
      </w:pPr>
      <w:r w:rsidRPr="00B3329E">
        <w:rPr>
          <w:rFonts w:ascii="Tahoma" w:hAnsi="Tahoma" w:cs="Tahoma"/>
          <w:color w:val="000000" w:themeColor="text1"/>
        </w:rPr>
        <w:t>The l</w:t>
      </w:r>
      <w:r w:rsidR="007372A7" w:rsidRPr="00B3329E">
        <w:rPr>
          <w:rFonts w:ascii="Tahoma" w:hAnsi="Tahoma" w:cs="Tahoma"/>
          <w:color w:val="000000" w:themeColor="text1"/>
        </w:rPr>
        <w:t xml:space="preserve">isted infrastructure </w:t>
      </w:r>
      <w:r w:rsidRPr="00B3329E">
        <w:rPr>
          <w:rFonts w:ascii="Tahoma" w:hAnsi="Tahoma" w:cs="Tahoma"/>
          <w:color w:val="000000" w:themeColor="text1"/>
        </w:rPr>
        <w:t>“</w:t>
      </w:r>
      <w:r w:rsidR="007372A7" w:rsidRPr="00B3329E">
        <w:rPr>
          <w:rFonts w:ascii="Tahoma" w:hAnsi="Tahoma" w:cs="Tahoma"/>
          <w:color w:val="000000" w:themeColor="text1"/>
        </w:rPr>
        <w:t>asset class</w:t>
      </w:r>
      <w:r w:rsidRPr="00B3329E">
        <w:rPr>
          <w:rFonts w:ascii="Tahoma" w:hAnsi="Tahoma" w:cs="Tahoma"/>
          <w:color w:val="000000" w:themeColor="text1"/>
        </w:rPr>
        <w:t>”</w:t>
      </w:r>
      <w:r w:rsidR="007372A7" w:rsidRPr="00B3329E">
        <w:rPr>
          <w:rFonts w:ascii="Tahoma" w:hAnsi="Tahoma" w:cs="Tahoma"/>
          <w:color w:val="000000" w:themeColor="text1"/>
        </w:rPr>
        <w:t xml:space="preserve"> </w:t>
      </w:r>
      <w:r w:rsidRPr="00B3329E">
        <w:rPr>
          <w:rFonts w:ascii="Tahoma" w:hAnsi="Tahoma" w:cs="Tahoma"/>
          <w:color w:val="000000" w:themeColor="text1"/>
        </w:rPr>
        <w:t xml:space="preserve">or “investment strategy” </w:t>
      </w:r>
      <w:r w:rsidR="007372A7" w:rsidRPr="00B3329E">
        <w:rPr>
          <w:rFonts w:ascii="Tahoma" w:hAnsi="Tahoma" w:cs="Tahoma"/>
          <w:color w:val="000000" w:themeColor="text1"/>
        </w:rPr>
        <w:t xml:space="preserve">is fairly new </w:t>
      </w:r>
      <w:r w:rsidR="00ED1EB3" w:rsidRPr="00B3329E">
        <w:rPr>
          <w:rFonts w:ascii="Tahoma" w:hAnsi="Tahoma" w:cs="Tahoma"/>
          <w:color w:val="000000" w:themeColor="text1"/>
        </w:rPr>
        <w:t xml:space="preserve">and </w:t>
      </w:r>
      <w:r w:rsidR="002E2741" w:rsidRPr="00B3329E">
        <w:rPr>
          <w:rFonts w:ascii="Tahoma" w:hAnsi="Tahoma" w:cs="Tahoma"/>
          <w:color w:val="000000" w:themeColor="text1"/>
        </w:rPr>
        <w:t>rose to prominence</w:t>
      </w:r>
      <w:r w:rsidR="00ED1EB3" w:rsidRPr="00B3329E">
        <w:rPr>
          <w:rFonts w:ascii="Tahoma" w:hAnsi="Tahoma" w:cs="Tahoma"/>
          <w:color w:val="000000" w:themeColor="text1"/>
        </w:rPr>
        <w:t xml:space="preserve"> following the privatisation of utilities companies in the 1980s. Consequently, there aren’t any </w:t>
      </w:r>
      <w:r w:rsidR="002E2741" w:rsidRPr="00B3329E">
        <w:rPr>
          <w:rFonts w:ascii="Tahoma" w:hAnsi="Tahoma" w:cs="Tahoma"/>
          <w:color w:val="000000" w:themeColor="text1"/>
        </w:rPr>
        <w:t>infrastructure</w:t>
      </w:r>
      <w:r w:rsidR="00DF6C8D" w:rsidRPr="00B3329E">
        <w:rPr>
          <w:rFonts w:ascii="Tahoma" w:hAnsi="Tahoma" w:cs="Tahoma"/>
          <w:color w:val="000000" w:themeColor="text1"/>
        </w:rPr>
        <w:t xml:space="preserve"> indices with returns</w:t>
      </w:r>
      <w:r w:rsidR="00ED1EB3" w:rsidRPr="00B3329E">
        <w:rPr>
          <w:rFonts w:ascii="Tahoma" w:hAnsi="Tahoma" w:cs="Tahoma"/>
          <w:color w:val="000000" w:themeColor="text1"/>
        </w:rPr>
        <w:t xml:space="preserve"> that</w:t>
      </w:r>
      <w:r w:rsidR="00DF6C8D" w:rsidRPr="00B3329E">
        <w:rPr>
          <w:rFonts w:ascii="Tahoma" w:hAnsi="Tahoma" w:cs="Tahoma"/>
          <w:color w:val="000000" w:themeColor="text1"/>
        </w:rPr>
        <w:t xml:space="preserve"> </w:t>
      </w:r>
      <w:r w:rsidR="00ED1EB3" w:rsidRPr="00B3329E">
        <w:rPr>
          <w:rFonts w:ascii="Tahoma" w:hAnsi="Tahoma" w:cs="Tahoma"/>
          <w:color w:val="000000" w:themeColor="text1"/>
        </w:rPr>
        <w:t xml:space="preserve">pre-date </w:t>
      </w:r>
      <w:r w:rsidR="00DF6C8D" w:rsidRPr="00B3329E">
        <w:rPr>
          <w:rFonts w:ascii="Tahoma" w:hAnsi="Tahoma" w:cs="Tahoma"/>
          <w:color w:val="000000" w:themeColor="text1"/>
        </w:rPr>
        <w:t>1990</w:t>
      </w:r>
      <w:r w:rsidR="00ED1EB3" w:rsidRPr="00B3329E">
        <w:rPr>
          <w:rFonts w:ascii="Tahoma" w:hAnsi="Tahoma" w:cs="Tahoma"/>
          <w:color w:val="000000" w:themeColor="text1"/>
        </w:rPr>
        <w:t xml:space="preserve">, which prevents analysis into the long term behaviour of the asset class.   </w:t>
      </w:r>
    </w:p>
    <w:p w:rsidR="00CC72C6" w:rsidRPr="00B3329E" w:rsidRDefault="00CC72C6" w:rsidP="00EA6483">
      <w:pPr>
        <w:spacing w:after="0"/>
        <w:rPr>
          <w:rFonts w:ascii="Tahoma" w:hAnsi="Tahoma" w:cs="Tahoma"/>
          <w:color w:val="000000" w:themeColor="text1"/>
        </w:rPr>
      </w:pPr>
    </w:p>
    <w:p w:rsidR="00F641AC" w:rsidRPr="00B3329E" w:rsidRDefault="00D9185F" w:rsidP="00EA6483">
      <w:pPr>
        <w:spacing w:after="0"/>
        <w:rPr>
          <w:rFonts w:ascii="Tahoma" w:hAnsi="Tahoma" w:cs="Tahoma"/>
          <w:color w:val="000000" w:themeColor="text1"/>
        </w:rPr>
      </w:pPr>
      <w:r w:rsidRPr="00B3329E">
        <w:rPr>
          <w:rFonts w:ascii="Tahoma" w:hAnsi="Tahoma" w:cs="Tahoma"/>
          <w:color w:val="000000" w:themeColor="text1"/>
        </w:rPr>
        <w:t>The shortage of data</w:t>
      </w:r>
      <w:r w:rsidRPr="00B3329E">
        <w:rPr>
          <w:rFonts w:ascii="Tahoma" w:hAnsi="Tahoma" w:cs="Tahoma"/>
          <w:b/>
          <w:color w:val="000000" w:themeColor="text1"/>
        </w:rPr>
        <w:t xml:space="preserve"> </w:t>
      </w:r>
      <w:r w:rsidRPr="00B3329E">
        <w:rPr>
          <w:rFonts w:ascii="Tahoma" w:hAnsi="Tahoma" w:cs="Tahoma"/>
          <w:color w:val="000000" w:themeColor="text1"/>
        </w:rPr>
        <w:t>has led to previous studies often analysing just a single, short time period (Oyodele 2013, Newell and Peng 200</w:t>
      </w:r>
      <w:r w:rsidR="00E9354D" w:rsidRPr="00B3329E">
        <w:rPr>
          <w:rFonts w:ascii="Tahoma" w:hAnsi="Tahoma" w:cs="Tahoma"/>
          <w:color w:val="000000" w:themeColor="text1"/>
        </w:rPr>
        <w:t>7</w:t>
      </w:r>
      <w:r w:rsidRPr="00B3329E">
        <w:rPr>
          <w:rFonts w:ascii="Tahoma" w:hAnsi="Tahoma" w:cs="Tahoma"/>
          <w:color w:val="000000" w:themeColor="text1"/>
        </w:rPr>
        <w:t xml:space="preserve">).  This is </w:t>
      </w:r>
      <w:r w:rsidR="000C1F60">
        <w:rPr>
          <w:rFonts w:ascii="Tahoma" w:hAnsi="Tahoma" w:cs="Tahoma"/>
          <w:color w:val="000000" w:themeColor="text1"/>
        </w:rPr>
        <w:t xml:space="preserve">problematic </w:t>
      </w:r>
      <w:r w:rsidRPr="00B3329E">
        <w:rPr>
          <w:rFonts w:ascii="Tahoma" w:hAnsi="Tahoma" w:cs="Tahoma"/>
          <w:color w:val="000000" w:themeColor="text1"/>
        </w:rPr>
        <w:t xml:space="preserve">because whilst over the long-term the stock market is found to be an efficient mechanism for accurately reflecting fundamental information (Fama, 1998) but there are periods, such as market shocks, where share price performance becomes disconnected from fundamentals due to panic-selling.  </w:t>
      </w:r>
    </w:p>
    <w:p w:rsidR="00F641AC" w:rsidRPr="00B3329E" w:rsidRDefault="00F641AC" w:rsidP="00EA6483">
      <w:pPr>
        <w:spacing w:after="0"/>
        <w:rPr>
          <w:rFonts w:ascii="Tahoma" w:hAnsi="Tahoma" w:cs="Tahoma"/>
          <w:color w:val="000000" w:themeColor="text1"/>
        </w:rPr>
      </w:pPr>
    </w:p>
    <w:p w:rsidR="00F641AC" w:rsidRPr="00B3329E" w:rsidRDefault="00D9185F" w:rsidP="00EA6483">
      <w:pPr>
        <w:spacing w:after="0"/>
        <w:rPr>
          <w:rFonts w:ascii="Tahoma" w:hAnsi="Tahoma" w:cs="Tahoma"/>
          <w:color w:val="000000" w:themeColor="text1"/>
        </w:rPr>
      </w:pPr>
      <w:r w:rsidRPr="00B3329E">
        <w:rPr>
          <w:rFonts w:ascii="Tahoma" w:hAnsi="Tahoma" w:cs="Tahoma"/>
          <w:color w:val="000000" w:themeColor="text1"/>
        </w:rPr>
        <w:t>Consequently, studying short time periods of performance can lead to conclusions being made that are not representative of the long term experience, particularly if the short time period include</w:t>
      </w:r>
      <w:r w:rsidR="00C679FC" w:rsidRPr="00B3329E">
        <w:rPr>
          <w:rFonts w:ascii="Tahoma" w:hAnsi="Tahoma" w:cs="Tahoma"/>
          <w:color w:val="000000" w:themeColor="text1"/>
        </w:rPr>
        <w:t>s</w:t>
      </w:r>
      <w:r w:rsidRPr="00B3329E">
        <w:rPr>
          <w:rFonts w:ascii="Tahoma" w:hAnsi="Tahoma" w:cs="Tahoma"/>
          <w:color w:val="000000" w:themeColor="text1"/>
        </w:rPr>
        <w:t xml:space="preserve"> an highly unusual event.</w:t>
      </w:r>
      <w:r w:rsidR="00F641AC" w:rsidRPr="00B3329E">
        <w:rPr>
          <w:rFonts w:ascii="Tahoma" w:hAnsi="Tahoma" w:cs="Tahoma"/>
          <w:color w:val="000000" w:themeColor="text1"/>
        </w:rPr>
        <w:t xml:space="preserve"> </w:t>
      </w:r>
      <w:r w:rsidRPr="00B3329E">
        <w:rPr>
          <w:rFonts w:ascii="Tahoma" w:hAnsi="Tahoma" w:cs="Tahoma"/>
          <w:color w:val="000000" w:themeColor="text1"/>
        </w:rPr>
        <w:t xml:space="preserve"> </w:t>
      </w:r>
      <w:r w:rsidR="00C679FC" w:rsidRPr="00B3329E">
        <w:rPr>
          <w:rFonts w:ascii="Tahoma" w:hAnsi="Tahoma" w:cs="Tahoma"/>
          <w:color w:val="000000" w:themeColor="text1"/>
        </w:rPr>
        <w:t xml:space="preserve">Furthermore, a broad equity market study by </w:t>
      </w:r>
      <w:r w:rsidR="00AC4871" w:rsidRPr="00B3329E">
        <w:rPr>
          <w:rFonts w:ascii="Tahoma" w:hAnsi="Tahoma" w:cs="Tahoma"/>
          <w:color w:val="000000" w:themeColor="text1"/>
        </w:rPr>
        <w:t>Ramchand</w:t>
      </w:r>
      <w:r w:rsidR="00C679FC" w:rsidRPr="00B3329E">
        <w:rPr>
          <w:rFonts w:ascii="Tahoma" w:hAnsi="Tahoma" w:cs="Tahoma"/>
          <w:color w:val="000000" w:themeColor="text1"/>
        </w:rPr>
        <w:t xml:space="preserve"> and Susmel (1998) found that correlations are not stable over time and increase at times when stock market volatility is relatively high. This finding suggests that listed infrastructure studies included the 2008 GFC, where correlations increased, will likely reach different conclusions than studies that exclude it.  </w:t>
      </w:r>
      <w:r w:rsidR="00F641AC" w:rsidRPr="00B3329E">
        <w:rPr>
          <w:rFonts w:ascii="Tahoma" w:hAnsi="Tahoma" w:cs="Tahoma"/>
          <w:color w:val="000000" w:themeColor="text1"/>
        </w:rPr>
        <w:t xml:space="preserve">The study of different, short time periods may </w:t>
      </w:r>
      <w:r w:rsidR="00C679FC" w:rsidRPr="00B3329E">
        <w:rPr>
          <w:rFonts w:ascii="Tahoma" w:hAnsi="Tahoma" w:cs="Tahoma"/>
          <w:color w:val="000000" w:themeColor="text1"/>
        </w:rPr>
        <w:t>explain th</w:t>
      </w:r>
      <w:r w:rsidR="00F641AC" w:rsidRPr="00B3329E">
        <w:rPr>
          <w:rFonts w:ascii="Tahoma" w:hAnsi="Tahoma" w:cs="Tahoma"/>
          <w:color w:val="000000" w:themeColor="text1"/>
        </w:rPr>
        <w:t>e inconsistent findings made by academics and industry practitioners</w:t>
      </w:r>
      <w:r w:rsidR="000032A3" w:rsidRPr="00B3329E">
        <w:rPr>
          <w:rFonts w:ascii="Tahoma" w:hAnsi="Tahoma" w:cs="Tahoma"/>
          <w:color w:val="000000" w:themeColor="text1"/>
        </w:rPr>
        <w:t>.</w:t>
      </w:r>
    </w:p>
    <w:p w:rsidR="00AE7F3C" w:rsidRPr="00B3329E" w:rsidRDefault="00AE7F3C" w:rsidP="00EA6483">
      <w:pPr>
        <w:spacing w:after="0"/>
        <w:rPr>
          <w:rFonts w:ascii="Tahoma" w:hAnsi="Tahoma" w:cs="Tahoma"/>
          <w:color w:val="000000" w:themeColor="text1"/>
        </w:rPr>
      </w:pPr>
    </w:p>
    <w:p w:rsidR="00AE7F3C" w:rsidRPr="00B3329E" w:rsidRDefault="00AE7F3C" w:rsidP="00EA6483">
      <w:pPr>
        <w:spacing w:after="0"/>
        <w:rPr>
          <w:rFonts w:ascii="Tahoma" w:hAnsi="Tahoma" w:cs="Tahoma"/>
          <w:color w:val="000000" w:themeColor="text1"/>
        </w:rPr>
      </w:pPr>
      <w:r w:rsidRPr="00B3329E">
        <w:rPr>
          <w:rFonts w:ascii="Tahoma" w:hAnsi="Tahoma" w:cs="Tahoma"/>
          <w:color w:val="000000" w:themeColor="text1"/>
        </w:rPr>
        <w:t>Blanc-Brude et al (201</w:t>
      </w:r>
      <w:r w:rsidR="00CC72C6" w:rsidRPr="00B3329E">
        <w:rPr>
          <w:rFonts w:ascii="Tahoma" w:hAnsi="Tahoma" w:cs="Tahoma"/>
          <w:color w:val="000000" w:themeColor="text1"/>
        </w:rPr>
        <w:t>6</w:t>
      </w:r>
      <w:r w:rsidRPr="00B3329E">
        <w:rPr>
          <w:rFonts w:ascii="Tahoma" w:hAnsi="Tahoma" w:cs="Tahoma"/>
          <w:color w:val="000000" w:themeColor="text1"/>
        </w:rPr>
        <w:t xml:space="preserve">) overlook the scarcity of the listed infrastructure investments with long </w:t>
      </w:r>
      <w:r w:rsidR="00CC72C6" w:rsidRPr="00B3329E">
        <w:rPr>
          <w:rFonts w:ascii="Tahoma" w:hAnsi="Tahoma" w:cs="Tahoma"/>
          <w:color w:val="000000" w:themeColor="text1"/>
        </w:rPr>
        <w:t>track-records</w:t>
      </w:r>
      <w:r w:rsidRPr="00B3329E">
        <w:rPr>
          <w:rFonts w:ascii="Tahoma" w:hAnsi="Tahoma" w:cs="Tahoma"/>
          <w:color w:val="000000" w:themeColor="text1"/>
        </w:rPr>
        <w:t xml:space="preserve"> and </w:t>
      </w:r>
      <w:r w:rsidR="00CC72C6" w:rsidRPr="00B3329E">
        <w:rPr>
          <w:rFonts w:ascii="Tahoma" w:hAnsi="Tahoma" w:cs="Tahoma"/>
          <w:color w:val="000000" w:themeColor="text1"/>
        </w:rPr>
        <w:t>present a study</w:t>
      </w:r>
      <w:r w:rsidRPr="00B3329E">
        <w:rPr>
          <w:rFonts w:ascii="Tahoma" w:hAnsi="Tahoma" w:cs="Tahoma"/>
          <w:color w:val="000000" w:themeColor="text1"/>
        </w:rPr>
        <w:t xml:space="preserve"> with sample sizes that are too small to draw reliabl</w:t>
      </w:r>
      <w:r w:rsidR="00AE01C0" w:rsidRPr="00B3329E">
        <w:rPr>
          <w:rFonts w:ascii="Tahoma" w:hAnsi="Tahoma" w:cs="Tahoma"/>
          <w:color w:val="000000" w:themeColor="text1"/>
        </w:rPr>
        <w:t xml:space="preserve">e findings and may lead to results that are not representative of the wider population.  </w:t>
      </w:r>
      <w:r w:rsidR="000C1F60">
        <w:rPr>
          <w:rFonts w:ascii="Tahoma" w:hAnsi="Tahoma" w:cs="Tahoma"/>
          <w:color w:val="000000" w:themeColor="text1"/>
        </w:rPr>
        <w:t>The use of s</w:t>
      </w:r>
      <w:r w:rsidR="00AE01C0" w:rsidRPr="00B3329E">
        <w:rPr>
          <w:rFonts w:ascii="Tahoma" w:hAnsi="Tahoma" w:cs="Tahoma"/>
          <w:color w:val="000000" w:themeColor="text1"/>
        </w:rPr>
        <w:t>mall sample sizes may further</w:t>
      </w:r>
      <w:r w:rsidRPr="00B3329E">
        <w:rPr>
          <w:rFonts w:ascii="Tahoma" w:hAnsi="Tahoma" w:cs="Tahoma"/>
          <w:color w:val="000000" w:themeColor="text1"/>
        </w:rPr>
        <w:t xml:space="preserve"> contribute towards the inconsistency of findings</w:t>
      </w:r>
      <w:r w:rsidR="000C1F60">
        <w:rPr>
          <w:rFonts w:ascii="Tahoma" w:hAnsi="Tahoma" w:cs="Tahoma"/>
          <w:color w:val="000000" w:themeColor="text1"/>
        </w:rPr>
        <w:t xml:space="preserve"> across studies</w:t>
      </w:r>
      <w:r w:rsidR="00AE01C0" w:rsidRPr="00B3329E">
        <w:rPr>
          <w:rFonts w:ascii="Tahoma" w:hAnsi="Tahoma" w:cs="Tahoma"/>
          <w:color w:val="000000" w:themeColor="text1"/>
        </w:rPr>
        <w:t>.</w:t>
      </w:r>
    </w:p>
    <w:p w:rsidR="00CC72C6" w:rsidRPr="00B3329E" w:rsidRDefault="00CC72C6" w:rsidP="00EA6483">
      <w:pPr>
        <w:spacing w:after="0"/>
        <w:rPr>
          <w:rFonts w:ascii="Tahoma" w:hAnsi="Tahoma" w:cs="Tahoma"/>
          <w:color w:val="000000" w:themeColor="text1"/>
        </w:rPr>
      </w:pPr>
    </w:p>
    <w:p w:rsidR="00EA6483" w:rsidRPr="00B3329E" w:rsidRDefault="000B74BE" w:rsidP="00EA6483">
      <w:pPr>
        <w:spacing w:after="0"/>
        <w:rPr>
          <w:rFonts w:ascii="Tahoma" w:hAnsi="Tahoma" w:cs="Tahoma"/>
          <w:color w:val="000000" w:themeColor="text1"/>
        </w:rPr>
      </w:pPr>
      <w:r w:rsidRPr="00B3329E">
        <w:rPr>
          <w:rFonts w:ascii="Tahoma" w:hAnsi="Tahoma" w:cs="Tahoma"/>
          <w:color w:val="000000" w:themeColor="text1"/>
        </w:rPr>
        <w:t>The different time periods studies</w:t>
      </w:r>
      <w:r w:rsidR="00714554">
        <w:rPr>
          <w:rFonts w:ascii="Tahoma" w:hAnsi="Tahoma" w:cs="Tahoma"/>
          <w:color w:val="000000" w:themeColor="text1"/>
        </w:rPr>
        <w:t xml:space="preserve"> </w:t>
      </w:r>
      <w:r w:rsidRPr="00B3329E">
        <w:rPr>
          <w:rFonts w:ascii="Tahoma" w:hAnsi="Tahoma" w:cs="Tahoma"/>
          <w:color w:val="000000" w:themeColor="text1"/>
        </w:rPr>
        <w:t xml:space="preserve"> and varying sample sizes may </w:t>
      </w:r>
      <w:r w:rsidR="00714554" w:rsidRPr="00B3329E">
        <w:rPr>
          <w:rFonts w:ascii="Tahoma" w:hAnsi="Tahoma" w:cs="Tahoma"/>
          <w:color w:val="000000" w:themeColor="text1"/>
        </w:rPr>
        <w:t xml:space="preserve"> </w:t>
      </w:r>
      <w:r w:rsidRPr="00B3329E">
        <w:rPr>
          <w:rFonts w:ascii="Tahoma" w:hAnsi="Tahoma" w:cs="Tahoma"/>
          <w:color w:val="000000" w:themeColor="text1"/>
        </w:rPr>
        <w:t xml:space="preserve">have </w:t>
      </w:r>
      <w:r w:rsidR="00714554">
        <w:rPr>
          <w:rFonts w:ascii="Tahoma" w:hAnsi="Tahoma" w:cs="Tahoma"/>
          <w:color w:val="000000" w:themeColor="text1"/>
        </w:rPr>
        <w:t xml:space="preserve">both </w:t>
      </w:r>
      <w:r w:rsidRPr="00B3329E">
        <w:rPr>
          <w:rFonts w:ascii="Tahoma" w:hAnsi="Tahoma" w:cs="Tahoma"/>
          <w:color w:val="000000" w:themeColor="text1"/>
        </w:rPr>
        <w:t>contributed towards the contradictory findings and create a confusing picture of the diversification benefits of listed infrastructure.</w:t>
      </w:r>
    </w:p>
    <w:p w:rsidR="008D28C7" w:rsidRPr="00B3329E" w:rsidRDefault="008D28C7" w:rsidP="00EA6483">
      <w:pPr>
        <w:spacing w:after="0"/>
        <w:rPr>
          <w:rFonts w:ascii="Tahoma" w:hAnsi="Tahoma" w:cs="Tahoma"/>
          <w:color w:val="000000" w:themeColor="text1"/>
        </w:rPr>
      </w:pPr>
    </w:p>
    <w:p w:rsidR="008D28C7" w:rsidRPr="00B3329E" w:rsidRDefault="008D28C7" w:rsidP="00EA6483">
      <w:pPr>
        <w:spacing w:after="0"/>
        <w:rPr>
          <w:rFonts w:ascii="Tahoma" w:hAnsi="Tahoma" w:cs="Tahoma"/>
          <w:color w:val="000000" w:themeColor="text1"/>
        </w:rPr>
      </w:pPr>
    </w:p>
    <w:p w:rsidR="00BC06F5" w:rsidRPr="00B3329E" w:rsidRDefault="00BC06F5" w:rsidP="00A426E5">
      <w:pPr>
        <w:pStyle w:val="2"/>
        <w:rPr>
          <w:rFonts w:cs="Tahoma"/>
          <w:color w:val="000000" w:themeColor="text1"/>
        </w:rPr>
      </w:pPr>
      <w:bookmarkStart w:id="12" w:name="_Toc523311343"/>
      <w:r w:rsidRPr="00B3329E">
        <w:rPr>
          <w:rFonts w:cs="Tahoma"/>
          <w:color w:val="000000" w:themeColor="text1"/>
        </w:rPr>
        <w:t xml:space="preserve">Contributing to the </w:t>
      </w:r>
      <w:r w:rsidR="004C2C63">
        <w:rPr>
          <w:rFonts w:cs="Tahoma"/>
          <w:color w:val="000000" w:themeColor="text1"/>
        </w:rPr>
        <w:t>b</w:t>
      </w:r>
      <w:r w:rsidRPr="00B3329E">
        <w:rPr>
          <w:rFonts w:cs="Tahoma"/>
          <w:color w:val="000000" w:themeColor="text1"/>
        </w:rPr>
        <w:t xml:space="preserve">ody of </w:t>
      </w:r>
      <w:r w:rsidR="004C2C63">
        <w:rPr>
          <w:rFonts w:cs="Tahoma"/>
          <w:color w:val="000000" w:themeColor="text1"/>
        </w:rPr>
        <w:t>k</w:t>
      </w:r>
      <w:r w:rsidRPr="00B3329E">
        <w:rPr>
          <w:rFonts w:cs="Tahoma"/>
          <w:color w:val="000000" w:themeColor="text1"/>
        </w:rPr>
        <w:t>nowledge</w:t>
      </w:r>
      <w:bookmarkEnd w:id="12"/>
    </w:p>
    <w:p w:rsidR="00BC06F5" w:rsidRPr="00B3329E" w:rsidRDefault="00BC06F5" w:rsidP="00EA6483">
      <w:pPr>
        <w:spacing w:after="0"/>
        <w:rPr>
          <w:rFonts w:ascii="Tahoma" w:hAnsi="Tahoma" w:cs="Tahoma"/>
          <w:b/>
          <w:color w:val="000000" w:themeColor="text1"/>
          <w:u w:val="single"/>
        </w:rPr>
      </w:pPr>
    </w:p>
    <w:p w:rsidR="00A84492" w:rsidRPr="00B3329E" w:rsidRDefault="00A84492" w:rsidP="00EA6483">
      <w:pPr>
        <w:spacing w:after="0"/>
        <w:rPr>
          <w:rFonts w:ascii="Tahoma" w:hAnsi="Tahoma" w:cs="Tahoma"/>
          <w:color w:val="000000" w:themeColor="text1"/>
        </w:rPr>
      </w:pPr>
      <w:r w:rsidRPr="00B3329E">
        <w:rPr>
          <w:rFonts w:ascii="Tahoma" w:hAnsi="Tahoma" w:cs="Tahoma"/>
          <w:color w:val="000000" w:themeColor="text1"/>
        </w:rPr>
        <w:t>A review of the academic literature makes it clear that studies with different time horizon focuses, different regional focus and different investment sets have led to inconsistent results and conclusions being made about listed infrastructure.  Despite this, t</w:t>
      </w:r>
      <w:r w:rsidR="006E7CBD" w:rsidRPr="00B3329E">
        <w:rPr>
          <w:rFonts w:ascii="Tahoma" w:hAnsi="Tahoma" w:cs="Tahoma"/>
          <w:color w:val="000000" w:themeColor="text1"/>
        </w:rPr>
        <w:t xml:space="preserve">he consensus of academic thinking currently </w:t>
      </w:r>
      <w:r w:rsidR="00532B1E" w:rsidRPr="00B3329E">
        <w:rPr>
          <w:rFonts w:ascii="Tahoma" w:hAnsi="Tahoma" w:cs="Tahoma"/>
          <w:color w:val="000000" w:themeColor="text1"/>
        </w:rPr>
        <w:t xml:space="preserve">leans towards the </w:t>
      </w:r>
      <w:r w:rsidR="00E066D1" w:rsidRPr="00B3329E">
        <w:rPr>
          <w:rFonts w:ascii="Tahoma" w:hAnsi="Tahoma" w:cs="Tahoma"/>
          <w:color w:val="000000" w:themeColor="text1"/>
        </w:rPr>
        <w:t>view</w:t>
      </w:r>
      <w:r w:rsidR="006E7CBD" w:rsidRPr="00B3329E">
        <w:rPr>
          <w:rFonts w:ascii="Tahoma" w:hAnsi="Tahoma" w:cs="Tahoma"/>
          <w:color w:val="000000" w:themeColor="text1"/>
        </w:rPr>
        <w:t xml:space="preserve"> that listed infrastructure is not a distinct asset class and does not provide </w:t>
      </w:r>
      <w:r w:rsidR="00532B1E" w:rsidRPr="00B3329E">
        <w:rPr>
          <w:rFonts w:ascii="Tahoma" w:hAnsi="Tahoma" w:cs="Tahoma"/>
          <w:color w:val="000000" w:themeColor="text1"/>
        </w:rPr>
        <w:t xml:space="preserve">diversification. </w:t>
      </w:r>
      <w:r w:rsidRPr="00B3329E">
        <w:rPr>
          <w:rFonts w:ascii="Tahoma" w:hAnsi="Tahoma" w:cs="Tahoma"/>
          <w:color w:val="000000" w:themeColor="text1"/>
        </w:rPr>
        <w:t xml:space="preserve">This will likely </w:t>
      </w:r>
      <w:r w:rsidR="00E066D1" w:rsidRPr="00B3329E">
        <w:rPr>
          <w:rFonts w:ascii="Tahoma" w:hAnsi="Tahoma" w:cs="Tahoma"/>
          <w:color w:val="000000" w:themeColor="text1"/>
        </w:rPr>
        <w:t>reduce investor demand and have</w:t>
      </w:r>
      <w:r w:rsidRPr="00B3329E">
        <w:rPr>
          <w:rFonts w:ascii="Tahoma" w:hAnsi="Tahoma" w:cs="Tahoma"/>
          <w:color w:val="000000" w:themeColor="text1"/>
        </w:rPr>
        <w:t xml:space="preserve"> negative consequences for the funding cost of projects.</w:t>
      </w:r>
    </w:p>
    <w:p w:rsidR="00EA6483" w:rsidRPr="00B3329E" w:rsidRDefault="00EA6483" w:rsidP="00EA6483">
      <w:pPr>
        <w:spacing w:after="0"/>
        <w:rPr>
          <w:rFonts w:ascii="Tahoma" w:hAnsi="Tahoma" w:cs="Tahoma"/>
          <w:color w:val="000000" w:themeColor="text1"/>
        </w:rPr>
      </w:pPr>
    </w:p>
    <w:p w:rsidR="00240B0A" w:rsidRPr="00B3329E" w:rsidRDefault="009D4750" w:rsidP="00EA6483">
      <w:pPr>
        <w:spacing w:after="0"/>
        <w:rPr>
          <w:rFonts w:ascii="Tahoma" w:hAnsi="Tahoma" w:cs="Tahoma"/>
          <w:color w:val="000000" w:themeColor="text1"/>
        </w:rPr>
      </w:pPr>
      <w:r w:rsidRPr="00B3329E">
        <w:rPr>
          <w:rFonts w:ascii="Tahoma" w:hAnsi="Tahoma" w:cs="Tahoma"/>
          <w:color w:val="000000" w:themeColor="text1"/>
        </w:rPr>
        <w:t>S</w:t>
      </w:r>
      <w:r w:rsidR="000148E4" w:rsidRPr="00B3329E">
        <w:rPr>
          <w:rFonts w:ascii="Tahoma" w:hAnsi="Tahoma" w:cs="Tahoma"/>
          <w:color w:val="000000" w:themeColor="text1"/>
        </w:rPr>
        <w:t xml:space="preserve">tudies </w:t>
      </w:r>
      <w:r w:rsidRPr="00B3329E">
        <w:rPr>
          <w:rFonts w:ascii="Tahoma" w:hAnsi="Tahoma" w:cs="Tahoma"/>
          <w:color w:val="000000" w:themeColor="text1"/>
        </w:rPr>
        <w:t xml:space="preserve">that </w:t>
      </w:r>
      <w:r w:rsidR="008441B4" w:rsidRPr="00B3329E">
        <w:rPr>
          <w:rFonts w:ascii="Tahoma" w:hAnsi="Tahoma" w:cs="Tahoma"/>
          <w:color w:val="000000" w:themeColor="text1"/>
        </w:rPr>
        <w:t xml:space="preserve">have explored the </w:t>
      </w:r>
      <w:r w:rsidR="000148E4" w:rsidRPr="00B3329E">
        <w:rPr>
          <w:rFonts w:ascii="Tahoma" w:hAnsi="Tahoma" w:cs="Tahoma"/>
          <w:color w:val="000000" w:themeColor="text1"/>
        </w:rPr>
        <w:t>heter</w:t>
      </w:r>
      <w:r w:rsidRPr="00B3329E">
        <w:rPr>
          <w:rFonts w:ascii="Tahoma" w:hAnsi="Tahoma" w:cs="Tahoma"/>
          <w:color w:val="000000" w:themeColor="text1"/>
        </w:rPr>
        <w:t>ogeneity within the asset class present</w:t>
      </w:r>
      <w:r w:rsidR="008441B4" w:rsidRPr="00B3329E">
        <w:rPr>
          <w:rFonts w:ascii="Tahoma" w:hAnsi="Tahoma" w:cs="Tahoma"/>
          <w:color w:val="000000" w:themeColor="text1"/>
        </w:rPr>
        <w:t xml:space="preserve"> a more balanced picture.  However, the study of just a limited number of time periods and listed infrastructure options </w:t>
      </w:r>
      <w:r w:rsidR="00745946" w:rsidRPr="00B3329E">
        <w:rPr>
          <w:rFonts w:ascii="Tahoma" w:hAnsi="Tahoma" w:cs="Tahoma"/>
          <w:color w:val="000000" w:themeColor="text1"/>
        </w:rPr>
        <w:t xml:space="preserve">and the simple use of headline statistics with little transparency into </w:t>
      </w:r>
      <w:r w:rsidR="00745946" w:rsidRPr="00B3329E">
        <w:rPr>
          <w:rFonts w:ascii="Tahoma" w:hAnsi="Tahoma" w:cs="Tahoma"/>
          <w:color w:val="000000" w:themeColor="text1"/>
        </w:rPr>
        <w:lastRenderedPageBreak/>
        <w:t>the diverse performance of this disparate asset class doesn’t convincingly dispel the criticism that has been directed at the sector</w:t>
      </w:r>
      <w:r w:rsidR="00240B0A" w:rsidRPr="00B3329E">
        <w:rPr>
          <w:rFonts w:ascii="Tahoma" w:hAnsi="Tahoma" w:cs="Tahoma"/>
          <w:color w:val="000000" w:themeColor="text1"/>
        </w:rPr>
        <w:t>.</w:t>
      </w:r>
    </w:p>
    <w:p w:rsidR="00240B0A" w:rsidRPr="00B3329E" w:rsidRDefault="00240B0A" w:rsidP="00EA6483">
      <w:pPr>
        <w:spacing w:after="0"/>
        <w:rPr>
          <w:rFonts w:ascii="Tahoma" w:hAnsi="Tahoma" w:cs="Tahoma"/>
          <w:color w:val="000000" w:themeColor="text1"/>
        </w:rPr>
      </w:pPr>
    </w:p>
    <w:p w:rsidR="00240B0A" w:rsidRPr="00B3329E" w:rsidRDefault="00745946" w:rsidP="00EA6483">
      <w:pPr>
        <w:spacing w:after="0"/>
        <w:rPr>
          <w:rFonts w:ascii="Tahoma" w:hAnsi="Tahoma" w:cs="Tahoma"/>
          <w:color w:val="000000" w:themeColor="text1"/>
        </w:rPr>
      </w:pPr>
      <w:r w:rsidRPr="00B3329E">
        <w:rPr>
          <w:rFonts w:ascii="Tahoma" w:hAnsi="Tahoma" w:cs="Tahoma"/>
          <w:color w:val="000000" w:themeColor="text1"/>
        </w:rPr>
        <w:t xml:space="preserve">The listed infrastructure body of knowledge would benefit from </w:t>
      </w:r>
      <w:r w:rsidR="008441B4" w:rsidRPr="00B3329E">
        <w:rPr>
          <w:rFonts w:ascii="Tahoma" w:hAnsi="Tahoma" w:cs="Tahoma"/>
          <w:color w:val="000000" w:themeColor="text1"/>
        </w:rPr>
        <w:t xml:space="preserve">further studies </w:t>
      </w:r>
      <w:r w:rsidR="00980F3B" w:rsidRPr="00B3329E">
        <w:rPr>
          <w:rFonts w:ascii="Tahoma" w:hAnsi="Tahoma" w:cs="Tahoma"/>
          <w:color w:val="000000" w:themeColor="text1"/>
        </w:rPr>
        <w:t xml:space="preserve">into the sector not only to investigate the characteristics of this young asset class using a longer period of data but to understand the </w:t>
      </w:r>
      <w:r w:rsidR="009A35CB" w:rsidRPr="00B3329E">
        <w:rPr>
          <w:rFonts w:ascii="Tahoma" w:hAnsi="Tahoma" w:cs="Tahoma"/>
          <w:color w:val="000000" w:themeColor="text1"/>
        </w:rPr>
        <w:t>persistency of correlation over time.</w:t>
      </w:r>
      <w:r w:rsidR="00240B0A" w:rsidRPr="00B3329E">
        <w:rPr>
          <w:rFonts w:ascii="Tahoma" w:hAnsi="Tahoma" w:cs="Tahoma"/>
          <w:color w:val="000000" w:themeColor="text1"/>
        </w:rPr>
        <w:t xml:space="preserve"> Examining active funds over multiple time periods alongside infrastructure stocks and indices will help test the fund management industry’s claims about diversification benefits and identify areas that are relatively attractive or unattractive from a diversification perspective.</w:t>
      </w:r>
    </w:p>
    <w:p w:rsidR="00240B0A" w:rsidRPr="00B3329E" w:rsidRDefault="00240B0A" w:rsidP="00EA6483">
      <w:pPr>
        <w:spacing w:after="0"/>
        <w:rPr>
          <w:rFonts w:ascii="Tahoma" w:hAnsi="Tahoma" w:cs="Tahoma"/>
          <w:color w:val="000000" w:themeColor="text1"/>
        </w:rPr>
      </w:pPr>
    </w:p>
    <w:p w:rsidR="000974F4" w:rsidRDefault="000974F4">
      <w:pPr>
        <w:rPr>
          <w:rFonts w:ascii="Tahoma" w:eastAsiaTheme="majorEastAsia" w:hAnsi="Tahoma" w:cs="Tahoma"/>
          <w:b/>
          <w:color w:val="000000" w:themeColor="text1"/>
          <w:sz w:val="28"/>
          <w:szCs w:val="36"/>
        </w:rPr>
      </w:pPr>
      <w:bookmarkStart w:id="13" w:name="_Toc523311344"/>
      <w:r>
        <w:rPr>
          <w:rFonts w:cs="Tahoma"/>
          <w:color w:val="000000" w:themeColor="text1"/>
        </w:rPr>
        <w:br w:type="page"/>
      </w:r>
    </w:p>
    <w:p w:rsidR="00CC4985" w:rsidRDefault="009E07CA" w:rsidP="00A426E5">
      <w:pPr>
        <w:pStyle w:val="1"/>
        <w:rPr>
          <w:rFonts w:cs="Tahoma"/>
          <w:color w:val="000000" w:themeColor="text1"/>
        </w:rPr>
      </w:pPr>
      <w:r w:rsidRPr="00B3329E">
        <w:rPr>
          <w:rFonts w:cs="Tahoma"/>
          <w:color w:val="000000" w:themeColor="text1"/>
        </w:rPr>
        <w:lastRenderedPageBreak/>
        <w:t>3</w:t>
      </w:r>
      <w:r w:rsidR="00240B0A" w:rsidRPr="00B3329E">
        <w:rPr>
          <w:rFonts w:cs="Tahoma"/>
          <w:color w:val="000000" w:themeColor="text1"/>
        </w:rPr>
        <w:t>.</w:t>
      </w:r>
      <w:r w:rsidRPr="00B3329E">
        <w:rPr>
          <w:rFonts w:cs="Tahoma"/>
          <w:color w:val="000000" w:themeColor="text1"/>
        </w:rPr>
        <w:t xml:space="preserve"> </w:t>
      </w:r>
      <w:r w:rsidR="004B4C33" w:rsidRPr="00B3329E">
        <w:rPr>
          <w:rFonts w:cs="Tahoma"/>
          <w:color w:val="000000" w:themeColor="text1"/>
        </w:rPr>
        <w:t>Methodology</w:t>
      </w:r>
      <w:bookmarkEnd w:id="13"/>
    </w:p>
    <w:p w:rsidR="00FF4EA7" w:rsidRDefault="00FF4EA7" w:rsidP="005469A2"/>
    <w:p w:rsidR="00FF4EA7" w:rsidRPr="005469A2" w:rsidRDefault="00FF4EA7" w:rsidP="005469A2"/>
    <w:p w:rsidR="00EA6483" w:rsidRPr="00B3329E" w:rsidRDefault="00EA6483" w:rsidP="00EA6483">
      <w:pPr>
        <w:spacing w:after="0"/>
        <w:rPr>
          <w:rFonts w:ascii="Tahoma" w:hAnsi="Tahoma" w:cs="Tahoma"/>
          <w:color w:val="000000" w:themeColor="text1"/>
        </w:rPr>
      </w:pPr>
    </w:p>
    <w:p w:rsidR="00117B64" w:rsidRPr="00B3329E" w:rsidRDefault="002405B6" w:rsidP="00EA6483">
      <w:pPr>
        <w:spacing w:after="0"/>
        <w:rPr>
          <w:rFonts w:ascii="Tahoma" w:hAnsi="Tahoma" w:cs="Tahoma"/>
          <w:color w:val="000000" w:themeColor="text1"/>
        </w:rPr>
      </w:pPr>
      <w:r w:rsidRPr="00B3329E">
        <w:rPr>
          <w:rFonts w:ascii="Tahoma" w:hAnsi="Tahoma" w:cs="Tahoma"/>
          <w:color w:val="000000" w:themeColor="text1"/>
        </w:rPr>
        <w:t xml:space="preserve">The aim of this study is to </w:t>
      </w:r>
      <w:r w:rsidR="00EB3F0C" w:rsidRPr="00B3329E">
        <w:rPr>
          <w:rFonts w:ascii="Tahoma" w:hAnsi="Tahoma" w:cs="Tahoma"/>
          <w:color w:val="000000" w:themeColor="text1"/>
        </w:rPr>
        <w:t>analyse the correlation</w:t>
      </w:r>
      <w:r w:rsidRPr="00B3329E">
        <w:rPr>
          <w:rFonts w:ascii="Tahoma" w:hAnsi="Tahoma" w:cs="Tahoma"/>
          <w:color w:val="000000" w:themeColor="text1"/>
        </w:rPr>
        <w:t xml:space="preserve"> of the various types of listed infrastructure </w:t>
      </w:r>
      <w:r w:rsidR="00EB3F0C" w:rsidRPr="00B3329E">
        <w:rPr>
          <w:rFonts w:ascii="Tahoma" w:hAnsi="Tahoma" w:cs="Tahoma"/>
          <w:color w:val="000000" w:themeColor="text1"/>
        </w:rPr>
        <w:t xml:space="preserve">with global equities </w:t>
      </w:r>
      <w:r w:rsidRPr="00B3329E">
        <w:rPr>
          <w:rFonts w:ascii="Tahoma" w:hAnsi="Tahoma" w:cs="Tahoma"/>
          <w:color w:val="000000" w:themeColor="text1"/>
        </w:rPr>
        <w:t xml:space="preserve">over </w:t>
      </w:r>
      <w:r w:rsidR="00EB3F0C" w:rsidRPr="00B3329E">
        <w:rPr>
          <w:rFonts w:ascii="Tahoma" w:hAnsi="Tahoma" w:cs="Tahoma"/>
          <w:color w:val="000000" w:themeColor="text1"/>
        </w:rPr>
        <w:t>multiple time periods</w:t>
      </w:r>
      <w:r w:rsidR="00240B0A" w:rsidRPr="00B3329E">
        <w:rPr>
          <w:rFonts w:ascii="Tahoma" w:hAnsi="Tahoma" w:cs="Tahoma"/>
          <w:color w:val="000000" w:themeColor="text1"/>
        </w:rPr>
        <w:t>.</w:t>
      </w:r>
      <w:r w:rsidR="00117B64" w:rsidRPr="00B3329E">
        <w:rPr>
          <w:rFonts w:ascii="Tahoma" w:hAnsi="Tahoma" w:cs="Tahoma"/>
          <w:color w:val="000000" w:themeColor="text1"/>
        </w:rPr>
        <w:t xml:space="preserve"> </w:t>
      </w:r>
      <w:r w:rsidR="00240B0A" w:rsidRPr="00B3329E">
        <w:rPr>
          <w:rFonts w:ascii="Tahoma" w:hAnsi="Tahoma" w:cs="Tahoma"/>
          <w:color w:val="000000" w:themeColor="text1"/>
        </w:rPr>
        <w:t>This will provide a</w:t>
      </w:r>
      <w:r w:rsidR="00EB3F0C" w:rsidRPr="00B3329E">
        <w:rPr>
          <w:rFonts w:ascii="Tahoma" w:hAnsi="Tahoma" w:cs="Tahoma"/>
          <w:color w:val="000000" w:themeColor="text1"/>
        </w:rPr>
        <w:t xml:space="preserve"> </w:t>
      </w:r>
      <w:r w:rsidR="00F3336E" w:rsidRPr="00B3329E">
        <w:rPr>
          <w:rFonts w:ascii="Tahoma" w:hAnsi="Tahoma" w:cs="Tahoma"/>
          <w:color w:val="000000" w:themeColor="text1"/>
        </w:rPr>
        <w:t xml:space="preserve">comprehensive </w:t>
      </w:r>
      <w:r w:rsidRPr="00B3329E">
        <w:rPr>
          <w:rFonts w:ascii="Tahoma" w:hAnsi="Tahoma" w:cs="Tahoma"/>
          <w:color w:val="000000" w:themeColor="text1"/>
        </w:rPr>
        <w:t>picture of how the asset class behaves</w:t>
      </w:r>
      <w:r w:rsidR="00240B0A" w:rsidRPr="00B3329E">
        <w:rPr>
          <w:rFonts w:ascii="Tahoma" w:hAnsi="Tahoma" w:cs="Tahoma"/>
          <w:color w:val="000000" w:themeColor="text1"/>
        </w:rPr>
        <w:t xml:space="preserve"> as </w:t>
      </w:r>
      <w:r w:rsidR="00117B64" w:rsidRPr="00B3329E">
        <w:rPr>
          <w:rFonts w:ascii="Tahoma" w:hAnsi="Tahoma" w:cs="Tahoma"/>
          <w:color w:val="000000" w:themeColor="text1"/>
        </w:rPr>
        <w:t>guidance</w:t>
      </w:r>
      <w:r w:rsidR="00EB3F0C" w:rsidRPr="00B3329E">
        <w:rPr>
          <w:rFonts w:ascii="Tahoma" w:hAnsi="Tahoma" w:cs="Tahoma"/>
          <w:color w:val="000000" w:themeColor="text1"/>
        </w:rPr>
        <w:t xml:space="preserve"> for</w:t>
      </w:r>
      <w:r w:rsidR="00117B64" w:rsidRPr="00B3329E">
        <w:rPr>
          <w:rFonts w:ascii="Tahoma" w:hAnsi="Tahoma" w:cs="Tahoma"/>
          <w:color w:val="000000" w:themeColor="text1"/>
        </w:rPr>
        <w:t xml:space="preserve"> both</w:t>
      </w:r>
      <w:r w:rsidR="00EB3F0C" w:rsidRPr="00B3329E">
        <w:rPr>
          <w:rFonts w:ascii="Tahoma" w:hAnsi="Tahoma" w:cs="Tahoma"/>
          <w:color w:val="000000" w:themeColor="text1"/>
        </w:rPr>
        <w:t xml:space="preserve"> investors </w:t>
      </w:r>
      <w:r w:rsidR="00117B64" w:rsidRPr="00B3329E">
        <w:rPr>
          <w:rFonts w:ascii="Tahoma" w:hAnsi="Tahoma" w:cs="Tahoma"/>
          <w:color w:val="000000" w:themeColor="text1"/>
        </w:rPr>
        <w:t xml:space="preserve">and asset managers </w:t>
      </w:r>
      <w:r w:rsidR="00EB3F0C" w:rsidRPr="00B3329E">
        <w:rPr>
          <w:rFonts w:ascii="Tahoma" w:hAnsi="Tahoma" w:cs="Tahoma"/>
          <w:color w:val="000000" w:themeColor="text1"/>
        </w:rPr>
        <w:t>that ar</w:t>
      </w:r>
      <w:r w:rsidR="00117B64" w:rsidRPr="00B3329E">
        <w:rPr>
          <w:rFonts w:ascii="Tahoma" w:hAnsi="Tahoma" w:cs="Tahoma"/>
          <w:color w:val="000000" w:themeColor="text1"/>
        </w:rPr>
        <w:t xml:space="preserve">e motivated by investing in or managing funds where diversification is a priority.  The expectation is that </w:t>
      </w:r>
      <w:r w:rsidR="00240B0A" w:rsidRPr="00B3329E">
        <w:rPr>
          <w:rFonts w:ascii="Tahoma" w:hAnsi="Tahoma" w:cs="Tahoma"/>
          <w:color w:val="000000" w:themeColor="text1"/>
        </w:rPr>
        <w:t xml:space="preserve">there are varying levels of correlation </w:t>
      </w:r>
      <w:r w:rsidR="00117B64" w:rsidRPr="00B3329E">
        <w:rPr>
          <w:rFonts w:ascii="Tahoma" w:hAnsi="Tahoma" w:cs="Tahoma"/>
          <w:color w:val="000000" w:themeColor="text1"/>
        </w:rPr>
        <w:t>within this heterogeneous asset class</w:t>
      </w:r>
      <w:r w:rsidR="00240B0A" w:rsidRPr="00B3329E">
        <w:rPr>
          <w:rFonts w:ascii="Tahoma" w:hAnsi="Tahoma" w:cs="Tahoma"/>
          <w:color w:val="000000" w:themeColor="text1"/>
        </w:rPr>
        <w:t xml:space="preserve"> and</w:t>
      </w:r>
      <w:r w:rsidR="00117B64" w:rsidRPr="00B3329E">
        <w:rPr>
          <w:rFonts w:ascii="Tahoma" w:hAnsi="Tahoma" w:cs="Tahoma"/>
          <w:color w:val="000000" w:themeColor="text1"/>
        </w:rPr>
        <w:t xml:space="preserve"> </w:t>
      </w:r>
      <w:r w:rsidR="00240B0A" w:rsidRPr="00B3329E">
        <w:rPr>
          <w:rFonts w:ascii="Tahoma" w:hAnsi="Tahoma" w:cs="Tahoma"/>
          <w:color w:val="000000" w:themeColor="text1"/>
        </w:rPr>
        <w:t>that</w:t>
      </w:r>
      <w:r w:rsidR="00117B64" w:rsidRPr="00B3329E">
        <w:rPr>
          <w:rFonts w:ascii="Tahoma" w:hAnsi="Tahoma" w:cs="Tahoma"/>
          <w:color w:val="000000" w:themeColor="text1"/>
        </w:rPr>
        <w:t xml:space="preserve"> diversification varies across time.</w:t>
      </w:r>
    </w:p>
    <w:p w:rsidR="008D4CA6" w:rsidRPr="00B3329E" w:rsidRDefault="008D4CA6"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r w:rsidRPr="00B3329E">
        <w:rPr>
          <w:rFonts w:ascii="Tahoma" w:hAnsi="Tahoma" w:cs="Tahoma"/>
          <w:color w:val="000000" w:themeColor="text1"/>
        </w:rPr>
        <w:t>The research objectives are:</w:t>
      </w:r>
    </w:p>
    <w:p w:rsidR="00EA6483" w:rsidRPr="00B3329E" w:rsidRDefault="00EA6483" w:rsidP="00EA6483">
      <w:pPr>
        <w:spacing w:after="0"/>
        <w:rPr>
          <w:rFonts w:ascii="Tahoma" w:hAnsi="Tahoma" w:cs="Tahoma"/>
          <w:color w:val="000000" w:themeColor="text1"/>
        </w:rPr>
      </w:pPr>
    </w:p>
    <w:p w:rsidR="00F3336E" w:rsidRPr="00B3329E" w:rsidRDefault="009E1C64" w:rsidP="00EA6483">
      <w:pPr>
        <w:pStyle w:val="a3"/>
        <w:numPr>
          <w:ilvl w:val="0"/>
          <w:numId w:val="9"/>
        </w:numPr>
        <w:spacing w:after="0"/>
        <w:rPr>
          <w:rFonts w:ascii="Tahoma" w:hAnsi="Tahoma" w:cs="Tahoma"/>
          <w:color w:val="000000" w:themeColor="text1"/>
        </w:rPr>
      </w:pPr>
      <w:r w:rsidRPr="00B3329E">
        <w:rPr>
          <w:rFonts w:ascii="Tahoma" w:hAnsi="Tahoma" w:cs="Tahoma"/>
          <w:color w:val="000000" w:themeColor="text1"/>
        </w:rPr>
        <w:t>D</w:t>
      </w:r>
      <w:r w:rsidR="00F0113E" w:rsidRPr="00B3329E">
        <w:rPr>
          <w:rFonts w:ascii="Tahoma" w:hAnsi="Tahoma" w:cs="Tahoma"/>
          <w:color w:val="000000" w:themeColor="text1"/>
        </w:rPr>
        <w:t>etermine</w:t>
      </w:r>
      <w:r w:rsidR="00A84492" w:rsidRPr="00B3329E">
        <w:rPr>
          <w:rFonts w:ascii="Tahoma" w:hAnsi="Tahoma" w:cs="Tahoma"/>
          <w:color w:val="000000" w:themeColor="text1"/>
        </w:rPr>
        <w:t xml:space="preserve"> the correlation of </w:t>
      </w:r>
      <w:r w:rsidRPr="00B3329E">
        <w:rPr>
          <w:rFonts w:ascii="Tahoma" w:hAnsi="Tahoma" w:cs="Tahoma"/>
          <w:color w:val="000000" w:themeColor="text1"/>
        </w:rPr>
        <w:t xml:space="preserve">the various types of </w:t>
      </w:r>
      <w:r w:rsidR="00A84492" w:rsidRPr="00B3329E">
        <w:rPr>
          <w:rFonts w:ascii="Tahoma" w:hAnsi="Tahoma" w:cs="Tahoma"/>
          <w:color w:val="000000" w:themeColor="text1"/>
        </w:rPr>
        <w:t xml:space="preserve">listed infrastructure with global equities.  </w:t>
      </w:r>
    </w:p>
    <w:p w:rsidR="00A84492" w:rsidRPr="00B3329E" w:rsidRDefault="009E1C64" w:rsidP="00EA6483">
      <w:pPr>
        <w:pStyle w:val="a3"/>
        <w:numPr>
          <w:ilvl w:val="0"/>
          <w:numId w:val="9"/>
        </w:numPr>
        <w:spacing w:after="0"/>
        <w:rPr>
          <w:rFonts w:ascii="Tahoma" w:hAnsi="Tahoma" w:cs="Tahoma"/>
          <w:color w:val="000000" w:themeColor="text1"/>
        </w:rPr>
      </w:pPr>
      <w:r w:rsidRPr="00B3329E">
        <w:rPr>
          <w:rFonts w:ascii="Tahoma" w:hAnsi="Tahoma" w:cs="Tahoma"/>
          <w:color w:val="000000" w:themeColor="text1"/>
        </w:rPr>
        <w:t>Perform analysis over multiple time periods to determine persistence of correlation.</w:t>
      </w:r>
    </w:p>
    <w:p w:rsidR="00F3336E" w:rsidRPr="00B3329E" w:rsidRDefault="009E1C64" w:rsidP="00EA6483">
      <w:pPr>
        <w:pStyle w:val="a3"/>
        <w:numPr>
          <w:ilvl w:val="0"/>
          <w:numId w:val="9"/>
        </w:numPr>
        <w:spacing w:after="0"/>
        <w:rPr>
          <w:rFonts w:ascii="Tahoma" w:hAnsi="Tahoma" w:cs="Tahoma"/>
          <w:color w:val="000000" w:themeColor="text1"/>
        </w:rPr>
      </w:pPr>
      <w:r w:rsidRPr="00B3329E">
        <w:rPr>
          <w:rFonts w:ascii="Tahoma" w:hAnsi="Tahoma" w:cs="Tahoma"/>
          <w:color w:val="000000" w:themeColor="text1"/>
        </w:rPr>
        <w:t>Consider</w:t>
      </w:r>
      <w:r w:rsidR="00F3336E" w:rsidRPr="00B3329E">
        <w:rPr>
          <w:rFonts w:ascii="Tahoma" w:hAnsi="Tahoma" w:cs="Tahoma"/>
          <w:color w:val="000000" w:themeColor="text1"/>
        </w:rPr>
        <w:t xml:space="preserve"> the relative attractiveness, from a diversification perspective, of infrastructure stocks, active funds and indices.</w:t>
      </w:r>
    </w:p>
    <w:p w:rsidR="00EA6483" w:rsidRPr="00B3329E" w:rsidRDefault="00EA6483" w:rsidP="00EA6483">
      <w:pPr>
        <w:pStyle w:val="a3"/>
        <w:spacing w:after="0"/>
        <w:rPr>
          <w:rFonts w:ascii="Tahoma" w:hAnsi="Tahoma" w:cs="Tahoma"/>
          <w:color w:val="000000" w:themeColor="text1"/>
        </w:rPr>
      </w:pPr>
    </w:p>
    <w:p w:rsidR="009821D2" w:rsidRPr="00B3329E" w:rsidRDefault="00EC37D4" w:rsidP="00EA6483">
      <w:pPr>
        <w:spacing w:after="0"/>
        <w:rPr>
          <w:rFonts w:ascii="Tahoma" w:hAnsi="Tahoma" w:cs="Tahoma"/>
          <w:color w:val="000000" w:themeColor="text1"/>
        </w:rPr>
      </w:pPr>
      <w:r w:rsidRPr="00B3329E">
        <w:rPr>
          <w:rFonts w:ascii="Tahoma" w:hAnsi="Tahoma" w:cs="Tahoma"/>
          <w:color w:val="000000" w:themeColor="text1"/>
        </w:rPr>
        <w:t>The chosen research method</w:t>
      </w:r>
      <w:r w:rsidR="009E1C64" w:rsidRPr="00B3329E">
        <w:rPr>
          <w:rFonts w:ascii="Tahoma" w:hAnsi="Tahoma" w:cs="Tahoma"/>
          <w:color w:val="000000" w:themeColor="text1"/>
        </w:rPr>
        <w:t xml:space="preserve"> is</w:t>
      </w:r>
      <w:r w:rsidRPr="00B3329E">
        <w:rPr>
          <w:rFonts w:ascii="Tahoma" w:hAnsi="Tahoma" w:cs="Tahoma"/>
          <w:color w:val="000000" w:themeColor="text1"/>
        </w:rPr>
        <w:t xml:space="preserve"> quantitative analysis of time series data</w:t>
      </w:r>
      <w:r w:rsidR="009E1C64" w:rsidRPr="00B3329E">
        <w:rPr>
          <w:rFonts w:ascii="Tahoma" w:hAnsi="Tahoma" w:cs="Tahoma"/>
          <w:color w:val="000000" w:themeColor="text1"/>
        </w:rPr>
        <w:t xml:space="preserve"> </w:t>
      </w:r>
      <w:r w:rsidRPr="00B3329E">
        <w:rPr>
          <w:rFonts w:ascii="Tahoma" w:hAnsi="Tahoma" w:cs="Tahoma"/>
          <w:color w:val="000000" w:themeColor="text1"/>
        </w:rPr>
        <w:t xml:space="preserve">as it </w:t>
      </w:r>
      <w:r w:rsidR="009E1C64" w:rsidRPr="00B3329E">
        <w:rPr>
          <w:rFonts w:ascii="Tahoma" w:hAnsi="Tahoma" w:cs="Tahoma"/>
          <w:color w:val="000000" w:themeColor="text1"/>
        </w:rPr>
        <w:t xml:space="preserve">allows large samples to be measured objectively </w:t>
      </w:r>
      <w:r w:rsidR="00B57C22" w:rsidRPr="00B3329E">
        <w:rPr>
          <w:rFonts w:ascii="Tahoma" w:hAnsi="Tahoma" w:cs="Tahoma"/>
          <w:color w:val="000000" w:themeColor="text1"/>
        </w:rPr>
        <w:t xml:space="preserve">and the results presented as </w:t>
      </w:r>
      <w:r w:rsidRPr="00B3329E">
        <w:rPr>
          <w:rFonts w:ascii="Tahoma" w:hAnsi="Tahoma" w:cs="Tahoma"/>
          <w:color w:val="000000" w:themeColor="text1"/>
        </w:rPr>
        <w:t>conventional statistics</w:t>
      </w:r>
      <w:r w:rsidR="009E1C64" w:rsidRPr="00B3329E">
        <w:rPr>
          <w:rFonts w:ascii="Tahoma" w:hAnsi="Tahoma" w:cs="Tahoma"/>
          <w:color w:val="000000" w:themeColor="text1"/>
        </w:rPr>
        <w:t>.  This is consistent with the approach taken in previous studies so will generate results that are easily comparable.  From a practical perspective, the</w:t>
      </w:r>
      <w:r w:rsidR="009821D2" w:rsidRPr="00B3329E">
        <w:rPr>
          <w:rFonts w:ascii="Tahoma" w:hAnsi="Tahoma" w:cs="Tahoma"/>
          <w:color w:val="000000" w:themeColor="text1"/>
        </w:rPr>
        <w:t xml:space="preserve"> approach is suited to the study of listed infrastructure </w:t>
      </w:r>
      <w:r w:rsidR="005A05ED" w:rsidRPr="00B3329E">
        <w:rPr>
          <w:rFonts w:ascii="Tahoma" w:hAnsi="Tahoma" w:cs="Tahoma"/>
          <w:color w:val="000000" w:themeColor="text1"/>
        </w:rPr>
        <w:t xml:space="preserve">as the input data (fund and share </w:t>
      </w:r>
      <w:r w:rsidR="009821D2" w:rsidRPr="00B3329E">
        <w:rPr>
          <w:rFonts w:ascii="Tahoma" w:hAnsi="Tahoma" w:cs="Tahoma"/>
          <w:color w:val="000000" w:themeColor="text1"/>
        </w:rPr>
        <w:t>price</w:t>
      </w:r>
      <w:r w:rsidR="005A05ED" w:rsidRPr="00B3329E">
        <w:rPr>
          <w:rFonts w:ascii="Tahoma" w:hAnsi="Tahoma" w:cs="Tahoma"/>
          <w:color w:val="000000" w:themeColor="text1"/>
        </w:rPr>
        <w:t>s)</w:t>
      </w:r>
      <w:r w:rsidR="009821D2" w:rsidRPr="00B3329E">
        <w:rPr>
          <w:rFonts w:ascii="Tahoma" w:hAnsi="Tahoma" w:cs="Tahoma"/>
          <w:color w:val="000000" w:themeColor="text1"/>
        </w:rPr>
        <w:t xml:space="preserve"> </w:t>
      </w:r>
      <w:r w:rsidR="005A05ED" w:rsidRPr="00B3329E">
        <w:rPr>
          <w:rFonts w:ascii="Tahoma" w:hAnsi="Tahoma" w:cs="Tahoma"/>
          <w:color w:val="000000" w:themeColor="text1"/>
        </w:rPr>
        <w:t xml:space="preserve">is </w:t>
      </w:r>
      <w:r w:rsidR="009E1C64" w:rsidRPr="00B3329E">
        <w:rPr>
          <w:rFonts w:ascii="Tahoma" w:hAnsi="Tahoma" w:cs="Tahoma"/>
          <w:color w:val="000000" w:themeColor="text1"/>
        </w:rPr>
        <w:t>publicly available</w:t>
      </w:r>
      <w:r w:rsidR="007B4198" w:rsidRPr="00B3329E">
        <w:rPr>
          <w:rFonts w:ascii="Tahoma" w:hAnsi="Tahoma" w:cs="Tahoma"/>
          <w:color w:val="000000" w:themeColor="text1"/>
        </w:rPr>
        <w:t>.</w:t>
      </w:r>
    </w:p>
    <w:p w:rsidR="00EA6483" w:rsidRPr="00B3329E" w:rsidRDefault="00EA6483" w:rsidP="00EA6483">
      <w:pPr>
        <w:spacing w:after="0"/>
        <w:rPr>
          <w:rFonts w:ascii="Tahoma" w:hAnsi="Tahoma" w:cs="Tahoma"/>
          <w:b/>
          <w:color w:val="000000" w:themeColor="text1"/>
        </w:rPr>
      </w:pPr>
    </w:p>
    <w:p w:rsidR="00EA6483" w:rsidRPr="00B3329E" w:rsidRDefault="00EA6483" w:rsidP="00EA6483">
      <w:pPr>
        <w:spacing w:after="0"/>
        <w:rPr>
          <w:rFonts w:ascii="Tahoma" w:hAnsi="Tahoma" w:cs="Tahoma"/>
          <w:b/>
          <w:color w:val="000000" w:themeColor="text1"/>
        </w:rPr>
      </w:pPr>
    </w:p>
    <w:p w:rsidR="007B4198" w:rsidRPr="00B3329E" w:rsidRDefault="00FF68FF" w:rsidP="00A426E5">
      <w:pPr>
        <w:pStyle w:val="2"/>
        <w:rPr>
          <w:rFonts w:cs="Tahoma"/>
          <w:color w:val="000000" w:themeColor="text1"/>
        </w:rPr>
      </w:pPr>
      <w:bookmarkStart w:id="14" w:name="_Toc523311345"/>
      <w:r w:rsidRPr="00B3329E">
        <w:rPr>
          <w:rFonts w:cs="Tahoma"/>
          <w:color w:val="000000" w:themeColor="text1"/>
        </w:rPr>
        <w:t xml:space="preserve">3.1. </w:t>
      </w:r>
      <w:r w:rsidR="00D0670A" w:rsidRPr="00B3329E">
        <w:rPr>
          <w:rFonts w:cs="Tahoma"/>
          <w:color w:val="000000" w:themeColor="text1"/>
        </w:rPr>
        <w:t>Measur</w:t>
      </w:r>
      <w:r w:rsidR="0058567F" w:rsidRPr="00B3329E">
        <w:rPr>
          <w:rFonts w:cs="Tahoma"/>
          <w:color w:val="000000" w:themeColor="text1"/>
        </w:rPr>
        <w:t xml:space="preserve">ing </w:t>
      </w:r>
      <w:r w:rsidR="004C2C63">
        <w:rPr>
          <w:rFonts w:cs="Tahoma"/>
          <w:color w:val="000000" w:themeColor="text1"/>
        </w:rPr>
        <w:t>d</w:t>
      </w:r>
      <w:r w:rsidR="0058567F" w:rsidRPr="00B3329E">
        <w:rPr>
          <w:rFonts w:cs="Tahoma"/>
          <w:color w:val="000000" w:themeColor="text1"/>
        </w:rPr>
        <w:t>iversification</w:t>
      </w:r>
      <w:bookmarkEnd w:id="14"/>
    </w:p>
    <w:p w:rsidR="004B4C33" w:rsidRPr="00B3329E" w:rsidRDefault="004B4C33" w:rsidP="00EA6483">
      <w:pPr>
        <w:spacing w:after="0"/>
        <w:rPr>
          <w:rFonts w:ascii="Tahoma" w:hAnsi="Tahoma" w:cs="Tahoma"/>
          <w:b/>
          <w:color w:val="000000" w:themeColor="text1"/>
        </w:rPr>
      </w:pPr>
    </w:p>
    <w:p w:rsidR="00965104" w:rsidRPr="00B3329E" w:rsidRDefault="00D0670A" w:rsidP="00EA6483">
      <w:pPr>
        <w:spacing w:after="0"/>
        <w:rPr>
          <w:rFonts w:ascii="Tahoma" w:hAnsi="Tahoma" w:cs="Tahoma"/>
          <w:color w:val="000000" w:themeColor="text1"/>
        </w:rPr>
      </w:pPr>
      <w:r w:rsidRPr="00B3329E">
        <w:rPr>
          <w:rFonts w:ascii="Tahoma" w:hAnsi="Tahoma" w:cs="Tahoma"/>
          <w:color w:val="000000" w:themeColor="text1"/>
        </w:rPr>
        <w:t>T</w:t>
      </w:r>
      <w:r w:rsidR="009E1C64" w:rsidRPr="00B3329E">
        <w:rPr>
          <w:rFonts w:ascii="Tahoma" w:hAnsi="Tahoma" w:cs="Tahoma"/>
          <w:color w:val="000000" w:themeColor="text1"/>
        </w:rPr>
        <w:t xml:space="preserve">o </w:t>
      </w:r>
      <w:r w:rsidR="005A05ED" w:rsidRPr="00B3329E">
        <w:rPr>
          <w:rFonts w:ascii="Tahoma" w:hAnsi="Tahoma" w:cs="Tahoma"/>
          <w:color w:val="000000" w:themeColor="text1"/>
        </w:rPr>
        <w:t xml:space="preserve">measure of diversification used in this study is </w:t>
      </w:r>
      <w:r w:rsidR="009E1C64" w:rsidRPr="00B3329E">
        <w:rPr>
          <w:rFonts w:ascii="Tahoma" w:hAnsi="Tahoma" w:cs="Tahoma"/>
          <w:color w:val="000000" w:themeColor="text1"/>
        </w:rPr>
        <w:t>the correlation coefficient</w:t>
      </w:r>
      <w:r w:rsidRPr="00B3329E">
        <w:rPr>
          <w:rFonts w:ascii="Tahoma" w:hAnsi="Tahoma" w:cs="Tahoma"/>
          <w:color w:val="000000" w:themeColor="text1"/>
        </w:rPr>
        <w:t xml:space="preserve">.  It </w:t>
      </w:r>
      <w:r w:rsidR="00965104" w:rsidRPr="00B3329E">
        <w:rPr>
          <w:rFonts w:ascii="Tahoma" w:hAnsi="Tahoma" w:cs="Tahoma"/>
          <w:color w:val="000000" w:themeColor="text1"/>
        </w:rPr>
        <w:t xml:space="preserve">is a widely used and well-understood measure of </w:t>
      </w:r>
      <w:r w:rsidR="009E1C64" w:rsidRPr="00B3329E">
        <w:rPr>
          <w:rFonts w:ascii="Tahoma" w:hAnsi="Tahoma" w:cs="Tahoma"/>
          <w:color w:val="000000" w:themeColor="text1"/>
        </w:rPr>
        <w:t xml:space="preserve">the </w:t>
      </w:r>
      <w:r w:rsidR="00965104" w:rsidRPr="00B3329E">
        <w:rPr>
          <w:rFonts w:ascii="Tahoma" w:hAnsi="Tahoma" w:cs="Tahoma"/>
          <w:color w:val="000000" w:themeColor="text1"/>
        </w:rPr>
        <w:t xml:space="preserve">relative directional movements between two data sets.  </w:t>
      </w:r>
      <w:r w:rsidRPr="00B3329E">
        <w:rPr>
          <w:rFonts w:ascii="Tahoma" w:hAnsi="Tahoma" w:cs="Tahoma"/>
          <w:color w:val="000000" w:themeColor="text1"/>
        </w:rPr>
        <w:t>In this case, the total returns of listed infrastructure and global equities.</w:t>
      </w:r>
      <w:r w:rsidR="008B43B1">
        <w:rPr>
          <w:rFonts w:ascii="Tahoma" w:hAnsi="Tahoma" w:cs="Tahoma"/>
          <w:color w:val="000000" w:themeColor="text1"/>
        </w:rPr>
        <w:t xml:space="preserve">  </w:t>
      </w:r>
      <w:r w:rsidR="008B43B1" w:rsidRPr="00B3329E">
        <w:rPr>
          <w:rFonts w:ascii="Tahoma" w:hAnsi="Tahoma" w:cs="Tahoma"/>
          <w:color w:val="000000" w:themeColor="text1"/>
        </w:rPr>
        <w:t xml:space="preserve">All summary statistics have been calculated from monthly total returns, which are comprised of income return and price return (capital growth) components.  </w:t>
      </w:r>
    </w:p>
    <w:p w:rsidR="00A00BD2" w:rsidRPr="00B3329E" w:rsidRDefault="00A00BD2" w:rsidP="00EA6483">
      <w:pPr>
        <w:spacing w:after="0"/>
        <w:rPr>
          <w:rFonts w:ascii="Tahoma" w:hAnsi="Tahoma" w:cs="Tahoma"/>
          <w:color w:val="000000" w:themeColor="text1"/>
        </w:rPr>
      </w:pPr>
    </w:p>
    <w:p w:rsidR="00A00BD2" w:rsidRPr="00B3329E" w:rsidRDefault="00A00BD2" w:rsidP="00EA6483">
      <w:pPr>
        <w:spacing w:after="0"/>
        <w:rPr>
          <w:rFonts w:ascii="Tahoma" w:hAnsi="Tahoma" w:cs="Tahoma"/>
          <w:color w:val="000000" w:themeColor="text1"/>
        </w:rPr>
      </w:pPr>
      <w:r w:rsidRPr="00B3329E">
        <w:rPr>
          <w:rFonts w:ascii="Tahoma" w:hAnsi="Tahoma" w:cs="Tahoma"/>
          <w:color w:val="000000" w:themeColor="text1"/>
        </w:rPr>
        <w:t xml:space="preserve">To interpret the correlation results, the study will follow the widely accepted rule of thumb </w:t>
      </w:r>
      <w:r w:rsidR="005C121B">
        <w:rPr>
          <w:rFonts w:ascii="Tahoma" w:hAnsi="Tahoma" w:cs="Tahoma"/>
          <w:color w:val="000000" w:themeColor="text1"/>
        </w:rPr>
        <w:t xml:space="preserve">presented in table 1 </w:t>
      </w:r>
      <w:r w:rsidRPr="00B3329E">
        <w:rPr>
          <w:rFonts w:ascii="Tahoma" w:hAnsi="Tahoma" w:cs="Tahoma"/>
          <w:color w:val="000000" w:themeColor="text1"/>
        </w:rPr>
        <w:t>(</w:t>
      </w:r>
      <w:r w:rsidRPr="00B3329E">
        <w:rPr>
          <w:rFonts w:ascii="Tahoma" w:hAnsi="Tahoma" w:cs="Tahoma"/>
          <w:color w:val="000000" w:themeColor="text1"/>
          <w:shd w:val="clear" w:color="auto" w:fill="FFFFFF"/>
        </w:rPr>
        <w:t>Hinkle et al, 2003).</w:t>
      </w:r>
    </w:p>
    <w:p w:rsidR="00A00BD2" w:rsidRDefault="00A00BD2" w:rsidP="00EA6483">
      <w:pPr>
        <w:spacing w:after="0"/>
        <w:rPr>
          <w:rFonts w:ascii="Tahoma" w:hAnsi="Tahoma" w:cs="Tahoma"/>
          <w:color w:val="000000" w:themeColor="text1"/>
        </w:rPr>
      </w:pPr>
    </w:p>
    <w:p w:rsidR="00CA2821" w:rsidRDefault="00CA2821">
      <w:pPr>
        <w:rPr>
          <w:rFonts w:ascii="Tahoma" w:hAnsi="Tahoma" w:cs="Tahoma"/>
          <w:color w:val="000000" w:themeColor="text1"/>
        </w:rPr>
      </w:pPr>
      <w:r>
        <w:rPr>
          <w:rFonts w:ascii="Tahoma" w:hAnsi="Tahoma" w:cs="Tahoma"/>
          <w:color w:val="000000" w:themeColor="text1"/>
        </w:rPr>
        <w:br w:type="page"/>
      </w:r>
    </w:p>
    <w:p w:rsidR="00D0670A" w:rsidRPr="00B3329E" w:rsidRDefault="00D0670A" w:rsidP="00EA6483">
      <w:pPr>
        <w:spacing w:after="0"/>
        <w:rPr>
          <w:rFonts w:ascii="Tahoma" w:hAnsi="Tahoma" w:cs="Tahoma"/>
          <w:color w:val="000000" w:themeColor="text1"/>
        </w:rPr>
      </w:pPr>
      <w:r w:rsidRPr="00B3329E">
        <w:rPr>
          <w:rFonts w:ascii="Tahoma" w:hAnsi="Tahoma" w:cs="Tahoma"/>
          <w:color w:val="000000" w:themeColor="text1"/>
        </w:rPr>
        <w:lastRenderedPageBreak/>
        <w:t>The correlation</w:t>
      </w:r>
      <w:r w:rsidR="00CA2821">
        <w:rPr>
          <w:rFonts w:ascii="Tahoma" w:hAnsi="Tahoma" w:cs="Tahoma"/>
          <w:color w:val="000000" w:themeColor="text1"/>
        </w:rPr>
        <w:t xml:space="preserve"> coefficient</w:t>
      </w:r>
      <w:r w:rsidRPr="00B3329E">
        <w:rPr>
          <w:rFonts w:ascii="Tahoma" w:hAnsi="Tahoma" w:cs="Tahoma"/>
          <w:color w:val="000000" w:themeColor="text1"/>
        </w:rPr>
        <w:t xml:space="preserve"> is calculated for the following sets of samples:</w:t>
      </w:r>
    </w:p>
    <w:p w:rsidR="005A05ED" w:rsidRPr="00B3329E" w:rsidRDefault="005A05ED" w:rsidP="00EA6483">
      <w:pPr>
        <w:spacing w:after="0"/>
        <w:rPr>
          <w:rFonts w:ascii="Tahoma" w:hAnsi="Tahoma" w:cs="Tahoma"/>
          <w:color w:val="000000" w:themeColor="text1"/>
        </w:rPr>
      </w:pPr>
    </w:p>
    <w:p w:rsidR="00D0670A" w:rsidRPr="00B3329E" w:rsidRDefault="00D0670A" w:rsidP="00EA6483">
      <w:pPr>
        <w:pStyle w:val="a3"/>
        <w:numPr>
          <w:ilvl w:val="0"/>
          <w:numId w:val="10"/>
        </w:numPr>
        <w:spacing w:after="0"/>
        <w:rPr>
          <w:rFonts w:ascii="Tahoma" w:hAnsi="Tahoma" w:cs="Tahoma"/>
          <w:color w:val="000000" w:themeColor="text1"/>
        </w:rPr>
      </w:pPr>
      <w:r w:rsidRPr="00B3329E">
        <w:rPr>
          <w:rFonts w:ascii="Tahoma" w:hAnsi="Tahoma" w:cs="Tahoma"/>
          <w:color w:val="000000" w:themeColor="text1"/>
        </w:rPr>
        <w:t>Infrastructure stocks and global equities</w:t>
      </w:r>
    </w:p>
    <w:p w:rsidR="005A05ED" w:rsidRPr="00B3329E" w:rsidRDefault="005A05ED" w:rsidP="005A05ED">
      <w:pPr>
        <w:pStyle w:val="a3"/>
        <w:numPr>
          <w:ilvl w:val="0"/>
          <w:numId w:val="10"/>
        </w:numPr>
        <w:spacing w:after="0"/>
        <w:rPr>
          <w:rFonts w:ascii="Tahoma" w:hAnsi="Tahoma" w:cs="Tahoma"/>
          <w:color w:val="000000" w:themeColor="text1"/>
        </w:rPr>
      </w:pPr>
      <w:r w:rsidRPr="00B3329E">
        <w:rPr>
          <w:rFonts w:ascii="Tahoma" w:hAnsi="Tahoma" w:cs="Tahoma"/>
          <w:color w:val="000000" w:themeColor="text1"/>
        </w:rPr>
        <w:t>Infrastructure stock sectors and global equities</w:t>
      </w:r>
    </w:p>
    <w:p w:rsidR="005A05ED" w:rsidRPr="00B3329E" w:rsidRDefault="005A05ED" w:rsidP="005A05ED">
      <w:pPr>
        <w:pStyle w:val="a3"/>
        <w:numPr>
          <w:ilvl w:val="0"/>
          <w:numId w:val="10"/>
        </w:numPr>
        <w:spacing w:after="0"/>
        <w:rPr>
          <w:rFonts w:ascii="Tahoma" w:hAnsi="Tahoma" w:cs="Tahoma"/>
          <w:color w:val="000000" w:themeColor="text1"/>
        </w:rPr>
      </w:pPr>
      <w:r w:rsidRPr="00B3329E">
        <w:rPr>
          <w:rFonts w:ascii="Tahoma" w:hAnsi="Tahoma" w:cs="Tahoma"/>
          <w:color w:val="000000" w:themeColor="text1"/>
        </w:rPr>
        <w:t>Infrastructure stocks (in MSCI World) and global equities</w:t>
      </w:r>
    </w:p>
    <w:p w:rsidR="005A05ED" w:rsidRPr="00B3329E" w:rsidRDefault="005A05ED" w:rsidP="005A05ED">
      <w:pPr>
        <w:pStyle w:val="a3"/>
        <w:numPr>
          <w:ilvl w:val="0"/>
          <w:numId w:val="10"/>
        </w:numPr>
        <w:spacing w:after="0"/>
        <w:rPr>
          <w:rFonts w:ascii="Tahoma" w:hAnsi="Tahoma" w:cs="Tahoma"/>
          <w:color w:val="000000" w:themeColor="text1"/>
        </w:rPr>
      </w:pPr>
      <w:r w:rsidRPr="00B3329E">
        <w:rPr>
          <w:rFonts w:ascii="Tahoma" w:hAnsi="Tahoma" w:cs="Tahoma"/>
          <w:color w:val="000000" w:themeColor="text1"/>
        </w:rPr>
        <w:t>Infrastructure stocks (not in MSCI World) and global equities</w:t>
      </w:r>
    </w:p>
    <w:p w:rsidR="00D0670A" w:rsidRPr="00B3329E" w:rsidRDefault="00D0670A" w:rsidP="00EA6483">
      <w:pPr>
        <w:pStyle w:val="a3"/>
        <w:numPr>
          <w:ilvl w:val="0"/>
          <w:numId w:val="10"/>
        </w:numPr>
        <w:spacing w:after="0"/>
        <w:rPr>
          <w:rFonts w:ascii="Tahoma" w:hAnsi="Tahoma" w:cs="Tahoma"/>
          <w:color w:val="000000" w:themeColor="text1"/>
        </w:rPr>
      </w:pPr>
      <w:r w:rsidRPr="00B3329E">
        <w:rPr>
          <w:rFonts w:ascii="Tahoma" w:hAnsi="Tahoma" w:cs="Tahoma"/>
          <w:color w:val="000000" w:themeColor="text1"/>
        </w:rPr>
        <w:t xml:space="preserve">Active funds and global equities </w:t>
      </w:r>
    </w:p>
    <w:p w:rsidR="00D0670A" w:rsidRPr="00B3329E" w:rsidRDefault="00D0670A" w:rsidP="00EA6483">
      <w:pPr>
        <w:pStyle w:val="a3"/>
        <w:numPr>
          <w:ilvl w:val="0"/>
          <w:numId w:val="10"/>
        </w:numPr>
        <w:spacing w:after="0"/>
        <w:rPr>
          <w:rFonts w:ascii="Tahoma" w:hAnsi="Tahoma" w:cs="Tahoma"/>
          <w:color w:val="000000" w:themeColor="text1"/>
        </w:rPr>
      </w:pPr>
      <w:r w:rsidRPr="00B3329E">
        <w:rPr>
          <w:rFonts w:ascii="Tahoma" w:hAnsi="Tahoma" w:cs="Tahoma"/>
          <w:color w:val="000000" w:themeColor="text1"/>
        </w:rPr>
        <w:t xml:space="preserve">Indices </w:t>
      </w:r>
      <w:r w:rsidR="005A05ED" w:rsidRPr="00B3329E">
        <w:rPr>
          <w:rFonts w:ascii="Tahoma" w:hAnsi="Tahoma" w:cs="Tahoma"/>
          <w:color w:val="000000" w:themeColor="text1"/>
        </w:rPr>
        <w:t xml:space="preserve">(regional and sector speciality indices included) </w:t>
      </w:r>
      <w:r w:rsidRPr="00B3329E">
        <w:rPr>
          <w:rFonts w:ascii="Tahoma" w:hAnsi="Tahoma" w:cs="Tahoma"/>
          <w:color w:val="000000" w:themeColor="text1"/>
        </w:rPr>
        <w:t>and global equities</w:t>
      </w:r>
    </w:p>
    <w:p w:rsidR="005A05ED" w:rsidRPr="00B3329E" w:rsidRDefault="005A05ED" w:rsidP="00EA6483">
      <w:pPr>
        <w:pStyle w:val="a3"/>
        <w:numPr>
          <w:ilvl w:val="0"/>
          <w:numId w:val="10"/>
        </w:numPr>
        <w:spacing w:after="0"/>
        <w:rPr>
          <w:rFonts w:ascii="Tahoma" w:hAnsi="Tahoma" w:cs="Tahoma"/>
          <w:color w:val="000000" w:themeColor="text1"/>
        </w:rPr>
      </w:pPr>
      <w:r w:rsidRPr="00B3329E">
        <w:rPr>
          <w:rFonts w:ascii="Tahoma" w:hAnsi="Tahoma" w:cs="Tahoma"/>
          <w:color w:val="000000" w:themeColor="text1"/>
        </w:rPr>
        <w:t xml:space="preserve">Indices (globally diversified only) and global equities </w:t>
      </w:r>
    </w:p>
    <w:p w:rsidR="00D0670A" w:rsidRPr="00B3329E" w:rsidRDefault="00D0670A" w:rsidP="00EA6483">
      <w:pPr>
        <w:pStyle w:val="a3"/>
        <w:spacing w:after="0"/>
        <w:rPr>
          <w:rFonts w:ascii="Tahoma" w:hAnsi="Tahoma" w:cs="Tahoma"/>
          <w:color w:val="000000" w:themeColor="text1"/>
        </w:rPr>
      </w:pPr>
    </w:p>
    <w:p w:rsidR="00EA6483" w:rsidRDefault="00EA6483" w:rsidP="00EA6483">
      <w:pPr>
        <w:spacing w:after="0"/>
        <w:rPr>
          <w:rFonts w:ascii="Tahoma" w:hAnsi="Tahoma" w:cs="Tahoma"/>
          <w:color w:val="000000" w:themeColor="text1"/>
        </w:rPr>
      </w:pPr>
    </w:p>
    <w:p w:rsidR="008D4CA6" w:rsidRPr="00B3329E" w:rsidRDefault="008D4CA6" w:rsidP="00EA6483">
      <w:pPr>
        <w:spacing w:after="0"/>
        <w:rPr>
          <w:rFonts w:ascii="Tahoma" w:hAnsi="Tahoma" w:cs="Tahoma"/>
          <w:color w:val="000000" w:themeColor="text1"/>
        </w:rPr>
      </w:pPr>
    </w:p>
    <w:p w:rsidR="00D0670A" w:rsidRPr="00B3329E" w:rsidRDefault="00D0670A" w:rsidP="00EA6483">
      <w:pPr>
        <w:spacing w:after="0"/>
        <w:rPr>
          <w:rFonts w:ascii="Tahoma" w:hAnsi="Tahoma" w:cs="Tahoma"/>
          <w:color w:val="000000" w:themeColor="text1"/>
        </w:rPr>
      </w:pPr>
      <w:r w:rsidRPr="00B3329E">
        <w:rPr>
          <w:rFonts w:ascii="Tahoma" w:hAnsi="Tahoma" w:cs="Tahoma"/>
          <w:color w:val="000000" w:themeColor="text1"/>
        </w:rPr>
        <w:t xml:space="preserve">In addition to calculating the mean correlation </w:t>
      </w:r>
      <w:r w:rsidR="007642AB" w:rsidRPr="00B3329E">
        <w:rPr>
          <w:rFonts w:ascii="Tahoma" w:hAnsi="Tahoma" w:cs="Tahoma"/>
          <w:color w:val="000000" w:themeColor="text1"/>
        </w:rPr>
        <w:t>for each sample</w:t>
      </w:r>
      <w:r w:rsidRPr="00B3329E">
        <w:rPr>
          <w:rFonts w:ascii="Tahoma" w:hAnsi="Tahoma" w:cs="Tahoma"/>
          <w:color w:val="000000" w:themeColor="text1"/>
        </w:rPr>
        <w:t xml:space="preserve"> </w:t>
      </w:r>
      <w:r w:rsidR="007642AB" w:rsidRPr="00B3329E">
        <w:rPr>
          <w:rFonts w:ascii="Tahoma" w:hAnsi="Tahoma" w:cs="Tahoma"/>
          <w:color w:val="000000" w:themeColor="text1"/>
        </w:rPr>
        <w:t xml:space="preserve">other metrics are presented </w:t>
      </w:r>
      <w:r w:rsidR="004F3A7E" w:rsidRPr="00B3329E">
        <w:rPr>
          <w:rFonts w:ascii="Tahoma" w:hAnsi="Tahoma" w:cs="Tahoma"/>
          <w:color w:val="000000" w:themeColor="text1"/>
        </w:rPr>
        <w:t xml:space="preserve">to give </w:t>
      </w:r>
      <w:r w:rsidR="001456AE" w:rsidRPr="00B3329E">
        <w:rPr>
          <w:rFonts w:ascii="Tahoma" w:hAnsi="Tahoma" w:cs="Tahoma"/>
          <w:color w:val="000000" w:themeColor="text1"/>
        </w:rPr>
        <w:t>insights into the distribution of values and potential heterogeneity within</w:t>
      </w:r>
      <w:r w:rsidR="007642AB" w:rsidRPr="00B3329E">
        <w:rPr>
          <w:rFonts w:ascii="Tahoma" w:hAnsi="Tahoma" w:cs="Tahoma"/>
          <w:color w:val="000000" w:themeColor="text1"/>
        </w:rPr>
        <w:t xml:space="preserve"> the samples. Standard deviation, kurtosis, skewness and minimum and maximum values are included, as well as histograms for a visual representation of the distribution of correlations </w:t>
      </w:r>
      <w:r w:rsidR="004F3A7E" w:rsidRPr="00B3329E">
        <w:rPr>
          <w:rFonts w:ascii="Tahoma" w:hAnsi="Tahoma" w:cs="Tahoma"/>
          <w:color w:val="000000" w:themeColor="text1"/>
        </w:rPr>
        <w:t>in</w:t>
      </w:r>
      <w:r w:rsidR="007642AB" w:rsidRPr="00B3329E">
        <w:rPr>
          <w:rFonts w:ascii="Tahoma" w:hAnsi="Tahoma" w:cs="Tahoma"/>
          <w:color w:val="000000" w:themeColor="text1"/>
        </w:rPr>
        <w:t xml:space="preserve"> each sample.</w:t>
      </w:r>
    </w:p>
    <w:p w:rsidR="003310CA" w:rsidRPr="00B3329E" w:rsidRDefault="003310CA" w:rsidP="00EA6483">
      <w:pPr>
        <w:spacing w:after="0"/>
        <w:rPr>
          <w:rFonts w:ascii="Tahoma" w:hAnsi="Tahoma" w:cs="Tahoma"/>
          <w:b/>
          <w:color w:val="000000" w:themeColor="text1"/>
        </w:rPr>
      </w:pPr>
    </w:p>
    <w:p w:rsidR="004B4C33" w:rsidRPr="00B3329E" w:rsidRDefault="004B4C33" w:rsidP="00EA6483">
      <w:pPr>
        <w:spacing w:after="0"/>
        <w:rPr>
          <w:rFonts w:ascii="Tahoma" w:hAnsi="Tahoma" w:cs="Tahoma"/>
          <w:b/>
          <w:color w:val="000000" w:themeColor="text1"/>
        </w:rPr>
      </w:pPr>
    </w:p>
    <w:p w:rsidR="003310CA" w:rsidRPr="00B3329E" w:rsidRDefault="00FF68FF" w:rsidP="00A426E5">
      <w:pPr>
        <w:pStyle w:val="2"/>
        <w:rPr>
          <w:rFonts w:cs="Tahoma"/>
          <w:color w:val="000000" w:themeColor="text1"/>
        </w:rPr>
      </w:pPr>
      <w:bookmarkStart w:id="15" w:name="_Toc523311346"/>
      <w:r w:rsidRPr="00B3329E">
        <w:rPr>
          <w:rFonts w:cs="Tahoma"/>
          <w:color w:val="000000" w:themeColor="text1"/>
        </w:rPr>
        <w:t xml:space="preserve">3.2. </w:t>
      </w:r>
      <w:r w:rsidR="004C2C63">
        <w:rPr>
          <w:rFonts w:cs="Tahoma"/>
          <w:color w:val="000000" w:themeColor="text1"/>
        </w:rPr>
        <w:t>Measuring</w:t>
      </w:r>
      <w:r w:rsidR="003310CA" w:rsidRPr="00B3329E">
        <w:rPr>
          <w:rFonts w:cs="Tahoma"/>
          <w:color w:val="000000" w:themeColor="text1"/>
        </w:rPr>
        <w:t xml:space="preserve"> </w:t>
      </w:r>
      <w:r w:rsidR="004C2C63">
        <w:rPr>
          <w:rFonts w:cs="Tahoma"/>
          <w:color w:val="000000" w:themeColor="text1"/>
        </w:rPr>
        <w:t>the p</w:t>
      </w:r>
      <w:r w:rsidR="003310CA" w:rsidRPr="00B3329E">
        <w:rPr>
          <w:rFonts w:cs="Tahoma"/>
          <w:color w:val="000000" w:themeColor="text1"/>
        </w:rPr>
        <w:t xml:space="preserve">ersistence of </w:t>
      </w:r>
      <w:bookmarkEnd w:id="15"/>
      <w:r w:rsidR="004C2C63">
        <w:rPr>
          <w:rFonts w:cs="Tahoma"/>
          <w:color w:val="000000" w:themeColor="text1"/>
        </w:rPr>
        <w:t>diversification</w:t>
      </w:r>
    </w:p>
    <w:p w:rsidR="004B4C33" w:rsidRPr="00B3329E" w:rsidRDefault="004B4C33" w:rsidP="00EA6483">
      <w:pPr>
        <w:spacing w:after="0"/>
        <w:rPr>
          <w:rFonts w:ascii="Tahoma" w:hAnsi="Tahoma" w:cs="Tahoma"/>
          <w:color w:val="000000" w:themeColor="text1"/>
        </w:rPr>
      </w:pPr>
    </w:p>
    <w:p w:rsidR="000032A3" w:rsidRPr="00B3329E" w:rsidRDefault="000C1262" w:rsidP="00EA6483">
      <w:pPr>
        <w:spacing w:after="0"/>
        <w:rPr>
          <w:rFonts w:ascii="Tahoma" w:hAnsi="Tahoma" w:cs="Tahoma"/>
          <w:color w:val="000000" w:themeColor="text1"/>
        </w:rPr>
      </w:pPr>
      <w:r w:rsidRPr="00B3329E">
        <w:rPr>
          <w:rFonts w:ascii="Tahoma" w:hAnsi="Tahoma" w:cs="Tahoma"/>
          <w:color w:val="000000" w:themeColor="text1"/>
        </w:rPr>
        <w:t>As discussed earlier, t</w:t>
      </w:r>
      <w:r w:rsidR="003310CA" w:rsidRPr="00B3329E">
        <w:rPr>
          <w:rFonts w:ascii="Tahoma" w:hAnsi="Tahoma" w:cs="Tahoma"/>
          <w:color w:val="000000" w:themeColor="text1"/>
        </w:rPr>
        <w:t xml:space="preserve">he youth of the asset class </w:t>
      </w:r>
      <w:r w:rsidR="001456AE" w:rsidRPr="00B3329E">
        <w:rPr>
          <w:rFonts w:ascii="Tahoma" w:hAnsi="Tahoma" w:cs="Tahoma"/>
          <w:color w:val="000000" w:themeColor="text1"/>
        </w:rPr>
        <w:t>hinders</w:t>
      </w:r>
      <w:r w:rsidRPr="00B3329E">
        <w:rPr>
          <w:rFonts w:ascii="Tahoma" w:hAnsi="Tahoma" w:cs="Tahoma"/>
          <w:color w:val="000000" w:themeColor="text1"/>
        </w:rPr>
        <w:t xml:space="preserve"> long-term analysis on a large sample.  Performing analysis on </w:t>
      </w:r>
      <w:r w:rsidR="00431BC3" w:rsidRPr="00B3329E">
        <w:rPr>
          <w:rFonts w:ascii="Tahoma" w:hAnsi="Tahoma" w:cs="Tahoma"/>
          <w:color w:val="000000" w:themeColor="text1"/>
        </w:rPr>
        <w:t>a 20 year time period</w:t>
      </w:r>
      <w:r w:rsidR="003310CA" w:rsidRPr="00B3329E">
        <w:rPr>
          <w:rFonts w:ascii="Tahoma" w:hAnsi="Tahoma" w:cs="Tahoma"/>
          <w:color w:val="000000" w:themeColor="text1"/>
        </w:rPr>
        <w:t xml:space="preserve"> from </w:t>
      </w:r>
      <w:r w:rsidR="00431BC3" w:rsidRPr="00B3329E">
        <w:rPr>
          <w:rFonts w:ascii="Tahoma" w:hAnsi="Tahoma" w:cs="Tahoma"/>
          <w:color w:val="000000" w:themeColor="text1"/>
        </w:rPr>
        <w:t>01/07/1998</w:t>
      </w:r>
      <w:r w:rsidR="001456AE" w:rsidRPr="00B3329E">
        <w:rPr>
          <w:rFonts w:ascii="Tahoma" w:hAnsi="Tahoma" w:cs="Tahoma"/>
          <w:color w:val="000000" w:themeColor="text1"/>
        </w:rPr>
        <w:t xml:space="preserve"> - </w:t>
      </w:r>
      <w:r w:rsidR="00431BC3" w:rsidRPr="00B3329E">
        <w:rPr>
          <w:rFonts w:ascii="Tahoma" w:hAnsi="Tahoma" w:cs="Tahoma"/>
          <w:color w:val="000000" w:themeColor="text1"/>
        </w:rPr>
        <w:t xml:space="preserve">30/06/2018 yields </w:t>
      </w:r>
      <w:r w:rsidR="001456AE" w:rsidRPr="00B3329E">
        <w:rPr>
          <w:rFonts w:ascii="Tahoma" w:hAnsi="Tahoma" w:cs="Tahoma"/>
          <w:color w:val="000000" w:themeColor="text1"/>
        </w:rPr>
        <w:t>a sample</w:t>
      </w:r>
      <w:r w:rsidR="00431BC3" w:rsidRPr="00B3329E">
        <w:rPr>
          <w:rFonts w:ascii="Tahoma" w:hAnsi="Tahoma" w:cs="Tahoma"/>
          <w:color w:val="000000" w:themeColor="text1"/>
        </w:rPr>
        <w:t xml:space="preserve"> of </w:t>
      </w:r>
      <w:r w:rsidRPr="00B3329E">
        <w:rPr>
          <w:rFonts w:ascii="Tahoma" w:hAnsi="Tahoma" w:cs="Tahoma"/>
          <w:color w:val="000000" w:themeColor="text1"/>
        </w:rPr>
        <w:t xml:space="preserve">177 stocks but just 5 indices and 0 stocks.  </w:t>
      </w:r>
      <w:r w:rsidR="003310CA" w:rsidRPr="00B3329E">
        <w:rPr>
          <w:rFonts w:ascii="Tahoma" w:hAnsi="Tahoma" w:cs="Tahoma"/>
          <w:color w:val="000000" w:themeColor="text1"/>
        </w:rPr>
        <w:t>The inability to measure each of the th</w:t>
      </w:r>
      <w:r w:rsidR="006D45BD" w:rsidRPr="00B3329E">
        <w:rPr>
          <w:rFonts w:ascii="Tahoma" w:hAnsi="Tahoma" w:cs="Tahoma"/>
          <w:color w:val="000000" w:themeColor="text1"/>
        </w:rPr>
        <w:t>ree sectors over the same long</w:t>
      </w:r>
      <w:r w:rsidR="003310CA" w:rsidRPr="00B3329E">
        <w:rPr>
          <w:rFonts w:ascii="Tahoma" w:hAnsi="Tahoma" w:cs="Tahoma"/>
          <w:color w:val="000000" w:themeColor="text1"/>
        </w:rPr>
        <w:t xml:space="preserve"> period presents the choice of analysing a shorter common time period or </w:t>
      </w:r>
      <w:r w:rsidR="001456AE" w:rsidRPr="00B3329E">
        <w:rPr>
          <w:rFonts w:ascii="Tahoma" w:hAnsi="Tahoma" w:cs="Tahoma"/>
          <w:color w:val="000000" w:themeColor="text1"/>
        </w:rPr>
        <w:t xml:space="preserve">longer </w:t>
      </w:r>
      <w:r w:rsidR="003310CA" w:rsidRPr="00B3329E">
        <w:rPr>
          <w:rFonts w:ascii="Tahoma" w:hAnsi="Tahoma" w:cs="Tahoma"/>
          <w:color w:val="000000" w:themeColor="text1"/>
        </w:rPr>
        <w:t>time periods</w:t>
      </w:r>
      <w:r w:rsidR="001456AE" w:rsidRPr="00B3329E">
        <w:rPr>
          <w:rFonts w:ascii="Tahoma" w:hAnsi="Tahoma" w:cs="Tahoma"/>
          <w:color w:val="000000" w:themeColor="text1"/>
        </w:rPr>
        <w:t>,</w:t>
      </w:r>
      <w:r w:rsidR="003310CA" w:rsidRPr="00B3329E">
        <w:rPr>
          <w:rFonts w:ascii="Tahoma" w:hAnsi="Tahoma" w:cs="Tahoma"/>
          <w:color w:val="000000" w:themeColor="text1"/>
        </w:rPr>
        <w:t xml:space="preserve"> some of which will be common to the three datasets.  The chosen approach </w:t>
      </w:r>
      <w:r w:rsidR="001456AE" w:rsidRPr="00B3329E">
        <w:rPr>
          <w:rFonts w:ascii="Tahoma" w:hAnsi="Tahoma" w:cs="Tahoma"/>
          <w:color w:val="000000" w:themeColor="text1"/>
        </w:rPr>
        <w:t xml:space="preserve">is to combine the two and </w:t>
      </w:r>
      <w:r w:rsidR="003310CA" w:rsidRPr="00B3329E">
        <w:rPr>
          <w:rFonts w:ascii="Tahoma" w:hAnsi="Tahoma" w:cs="Tahoma"/>
          <w:color w:val="000000" w:themeColor="text1"/>
        </w:rPr>
        <w:t>perform the analysis a 10</w:t>
      </w:r>
      <w:r w:rsidR="006D45BD" w:rsidRPr="00B3329E">
        <w:rPr>
          <w:rFonts w:ascii="Tahoma" w:hAnsi="Tahoma" w:cs="Tahoma"/>
          <w:color w:val="000000" w:themeColor="text1"/>
        </w:rPr>
        <w:t xml:space="preserve"> </w:t>
      </w:r>
      <w:r w:rsidR="003310CA" w:rsidRPr="00B3329E">
        <w:rPr>
          <w:rFonts w:ascii="Tahoma" w:hAnsi="Tahoma" w:cs="Tahoma"/>
          <w:color w:val="000000" w:themeColor="text1"/>
        </w:rPr>
        <w:t>y</w:t>
      </w:r>
      <w:r w:rsidR="006D45BD" w:rsidRPr="00B3329E">
        <w:rPr>
          <w:rFonts w:ascii="Tahoma" w:hAnsi="Tahoma" w:cs="Tahoma"/>
          <w:color w:val="000000" w:themeColor="text1"/>
        </w:rPr>
        <w:t>ea</w:t>
      </w:r>
      <w:r w:rsidR="003310CA" w:rsidRPr="00B3329E">
        <w:rPr>
          <w:rFonts w:ascii="Tahoma" w:hAnsi="Tahoma" w:cs="Tahoma"/>
          <w:color w:val="000000" w:themeColor="text1"/>
        </w:rPr>
        <w:t xml:space="preserve">r time period </w:t>
      </w:r>
      <w:r w:rsidR="006D45BD" w:rsidRPr="00B3329E">
        <w:rPr>
          <w:rFonts w:ascii="Tahoma" w:hAnsi="Tahoma" w:cs="Tahoma"/>
          <w:color w:val="000000" w:themeColor="text1"/>
        </w:rPr>
        <w:t>(01</w:t>
      </w:r>
      <w:r w:rsidR="003310CA" w:rsidRPr="00B3329E">
        <w:rPr>
          <w:rFonts w:ascii="Tahoma" w:hAnsi="Tahoma" w:cs="Tahoma"/>
          <w:color w:val="000000" w:themeColor="text1"/>
        </w:rPr>
        <w:t>/0</w:t>
      </w:r>
      <w:r w:rsidR="006D45BD" w:rsidRPr="00B3329E">
        <w:rPr>
          <w:rFonts w:ascii="Tahoma" w:hAnsi="Tahoma" w:cs="Tahoma"/>
          <w:color w:val="000000" w:themeColor="text1"/>
        </w:rPr>
        <w:t>7</w:t>
      </w:r>
      <w:r w:rsidR="003310CA" w:rsidRPr="00B3329E">
        <w:rPr>
          <w:rFonts w:ascii="Tahoma" w:hAnsi="Tahoma" w:cs="Tahoma"/>
          <w:color w:val="000000" w:themeColor="text1"/>
        </w:rPr>
        <w:t>/2008</w:t>
      </w:r>
      <w:r w:rsidR="001456AE" w:rsidRPr="00B3329E">
        <w:rPr>
          <w:rFonts w:ascii="Tahoma" w:hAnsi="Tahoma" w:cs="Tahoma"/>
          <w:color w:val="000000" w:themeColor="text1"/>
        </w:rPr>
        <w:t xml:space="preserve"> </w:t>
      </w:r>
      <w:r w:rsidR="003310CA" w:rsidRPr="00B3329E">
        <w:rPr>
          <w:rFonts w:ascii="Tahoma" w:hAnsi="Tahoma" w:cs="Tahoma"/>
          <w:color w:val="000000" w:themeColor="text1"/>
        </w:rPr>
        <w:t>-</w:t>
      </w:r>
      <w:r w:rsidR="001456AE" w:rsidRPr="00B3329E">
        <w:rPr>
          <w:rFonts w:ascii="Tahoma" w:hAnsi="Tahoma" w:cs="Tahoma"/>
          <w:color w:val="000000" w:themeColor="text1"/>
        </w:rPr>
        <w:t xml:space="preserve"> </w:t>
      </w:r>
      <w:r w:rsidR="003310CA" w:rsidRPr="00B3329E">
        <w:rPr>
          <w:rFonts w:ascii="Tahoma" w:hAnsi="Tahoma" w:cs="Tahoma"/>
          <w:color w:val="000000" w:themeColor="text1"/>
        </w:rPr>
        <w:t>30/06/2018</w:t>
      </w:r>
      <w:r w:rsidR="006D45BD" w:rsidRPr="00B3329E">
        <w:rPr>
          <w:rFonts w:ascii="Tahoma" w:hAnsi="Tahoma" w:cs="Tahoma"/>
          <w:color w:val="000000" w:themeColor="text1"/>
        </w:rPr>
        <w:t>)</w:t>
      </w:r>
      <w:r w:rsidR="003310CA" w:rsidRPr="00B3329E">
        <w:rPr>
          <w:rFonts w:ascii="Tahoma" w:hAnsi="Tahoma" w:cs="Tahoma"/>
          <w:color w:val="000000" w:themeColor="text1"/>
        </w:rPr>
        <w:t xml:space="preserve">, </w:t>
      </w:r>
      <w:r w:rsidR="006D45BD" w:rsidRPr="00B3329E">
        <w:rPr>
          <w:rFonts w:ascii="Tahoma" w:hAnsi="Tahoma" w:cs="Tahoma"/>
          <w:color w:val="000000" w:themeColor="text1"/>
        </w:rPr>
        <w:t>15 year time period (01/07/2003</w:t>
      </w:r>
      <w:r w:rsidR="001456AE" w:rsidRPr="00B3329E">
        <w:rPr>
          <w:rFonts w:ascii="Tahoma" w:hAnsi="Tahoma" w:cs="Tahoma"/>
          <w:color w:val="000000" w:themeColor="text1"/>
        </w:rPr>
        <w:t xml:space="preserve"> </w:t>
      </w:r>
      <w:r w:rsidR="006D45BD" w:rsidRPr="00B3329E">
        <w:rPr>
          <w:rFonts w:ascii="Tahoma" w:hAnsi="Tahoma" w:cs="Tahoma"/>
          <w:color w:val="000000" w:themeColor="text1"/>
        </w:rPr>
        <w:t>-</w:t>
      </w:r>
      <w:r w:rsidR="001456AE" w:rsidRPr="00B3329E">
        <w:rPr>
          <w:rFonts w:ascii="Tahoma" w:hAnsi="Tahoma" w:cs="Tahoma"/>
          <w:color w:val="000000" w:themeColor="text1"/>
        </w:rPr>
        <w:t xml:space="preserve"> </w:t>
      </w:r>
      <w:r w:rsidR="006D45BD" w:rsidRPr="00B3329E">
        <w:rPr>
          <w:rFonts w:ascii="Tahoma" w:hAnsi="Tahoma" w:cs="Tahoma"/>
          <w:color w:val="000000" w:themeColor="text1"/>
        </w:rPr>
        <w:t>30/06/2018) and a 20 year time period (01/07/1998</w:t>
      </w:r>
      <w:r w:rsidR="001456AE" w:rsidRPr="00B3329E">
        <w:rPr>
          <w:rFonts w:ascii="Tahoma" w:hAnsi="Tahoma" w:cs="Tahoma"/>
          <w:color w:val="000000" w:themeColor="text1"/>
        </w:rPr>
        <w:t xml:space="preserve"> </w:t>
      </w:r>
      <w:r w:rsidR="006D45BD" w:rsidRPr="00B3329E">
        <w:rPr>
          <w:rFonts w:ascii="Tahoma" w:hAnsi="Tahoma" w:cs="Tahoma"/>
          <w:color w:val="000000" w:themeColor="text1"/>
        </w:rPr>
        <w:t>-</w:t>
      </w:r>
      <w:r w:rsidR="001456AE" w:rsidRPr="00B3329E">
        <w:rPr>
          <w:rFonts w:ascii="Tahoma" w:hAnsi="Tahoma" w:cs="Tahoma"/>
          <w:color w:val="000000" w:themeColor="text1"/>
        </w:rPr>
        <w:t xml:space="preserve"> </w:t>
      </w:r>
      <w:r w:rsidR="006D45BD" w:rsidRPr="00B3329E">
        <w:rPr>
          <w:rFonts w:ascii="Tahoma" w:hAnsi="Tahoma" w:cs="Tahoma"/>
          <w:color w:val="000000" w:themeColor="text1"/>
        </w:rPr>
        <w:t>30/06</w:t>
      </w:r>
      <w:r w:rsidR="003E2B2F" w:rsidRPr="00B3329E">
        <w:rPr>
          <w:rFonts w:ascii="Tahoma" w:hAnsi="Tahoma" w:cs="Tahoma"/>
          <w:color w:val="000000" w:themeColor="text1"/>
        </w:rPr>
        <w:t>/2018).</w:t>
      </w:r>
      <w:r w:rsidR="00E83ABA" w:rsidRPr="00B3329E">
        <w:rPr>
          <w:rFonts w:ascii="Tahoma" w:hAnsi="Tahoma" w:cs="Tahoma"/>
          <w:color w:val="000000" w:themeColor="text1"/>
        </w:rPr>
        <w:t xml:space="preserve"> Whilst it is not possible to make the comparison with active funds for the 20 year time period, it is worth including for the insights it provides into the longer-term performance of infrastructure stocks and indices that spans multiple economic and market cycles. </w:t>
      </w:r>
      <w:r w:rsidR="003E2B2F" w:rsidRPr="00B3329E">
        <w:rPr>
          <w:rFonts w:ascii="Tahoma" w:hAnsi="Tahoma" w:cs="Tahoma"/>
          <w:color w:val="000000" w:themeColor="text1"/>
        </w:rPr>
        <w:t xml:space="preserve">To be transparent about the different length track records for each dataset, the sample size in each time period is provided. </w:t>
      </w:r>
      <w:r w:rsidR="000032A3" w:rsidRPr="00B3329E">
        <w:rPr>
          <w:rFonts w:ascii="Tahoma" w:hAnsi="Tahoma" w:cs="Tahoma"/>
          <w:color w:val="000000" w:themeColor="text1"/>
        </w:rPr>
        <w:t xml:space="preserve"> The inclusion of the GFC, the worst market crash in 75 years, should lead in a conservative estimate of the future diversification benefits.  It is widely accepted that during financial crisis correlations across listed investments increase as investor’s engage in a “flight to safety” and sell their investments indiscriminately as they try to de-risk their portfolio and move to cash investments.</w:t>
      </w:r>
    </w:p>
    <w:p w:rsidR="002E2818" w:rsidRPr="00B3329E" w:rsidRDefault="002E2818" w:rsidP="00EA6483">
      <w:pPr>
        <w:spacing w:after="0"/>
        <w:rPr>
          <w:rFonts w:ascii="Tahoma" w:eastAsiaTheme="minorHAnsi" w:hAnsi="Tahoma" w:cs="Tahoma"/>
          <w:color w:val="000000" w:themeColor="text1"/>
        </w:rPr>
      </w:pPr>
    </w:p>
    <w:p w:rsidR="000416ED" w:rsidRPr="00B3329E" w:rsidRDefault="00E83ABA" w:rsidP="00EA6483">
      <w:pPr>
        <w:spacing w:after="0"/>
        <w:rPr>
          <w:rFonts w:ascii="Tahoma" w:hAnsi="Tahoma" w:cs="Tahoma"/>
          <w:color w:val="000000" w:themeColor="text1"/>
        </w:rPr>
      </w:pPr>
      <w:r w:rsidRPr="00B3329E">
        <w:rPr>
          <w:rFonts w:ascii="Tahoma" w:hAnsi="Tahoma" w:cs="Tahoma"/>
          <w:color w:val="000000" w:themeColor="text1"/>
        </w:rPr>
        <w:t>In addition to long-term</w:t>
      </w:r>
      <w:r w:rsidR="008C2E11" w:rsidRPr="00B3329E">
        <w:rPr>
          <w:rFonts w:ascii="Tahoma" w:hAnsi="Tahoma" w:cs="Tahoma"/>
          <w:color w:val="000000" w:themeColor="text1"/>
        </w:rPr>
        <w:t>, single-point analysis</w:t>
      </w:r>
      <w:r w:rsidRPr="00B3329E">
        <w:rPr>
          <w:rFonts w:ascii="Tahoma" w:hAnsi="Tahoma" w:cs="Tahoma"/>
          <w:color w:val="000000" w:themeColor="text1"/>
        </w:rPr>
        <w:t xml:space="preserve"> this study includes rolling correlation to gain insights </w:t>
      </w:r>
      <w:r w:rsidR="008C2E11" w:rsidRPr="00B3329E">
        <w:rPr>
          <w:rFonts w:ascii="Tahoma" w:hAnsi="Tahoma" w:cs="Tahoma"/>
          <w:color w:val="000000" w:themeColor="text1"/>
        </w:rPr>
        <w:t xml:space="preserve">into </w:t>
      </w:r>
      <w:r w:rsidRPr="00B3329E">
        <w:rPr>
          <w:rFonts w:ascii="Tahoma" w:hAnsi="Tahoma" w:cs="Tahoma"/>
          <w:color w:val="000000" w:themeColor="text1"/>
        </w:rPr>
        <w:t>the persistence of diversification in different market environments.</w:t>
      </w:r>
      <w:r w:rsidR="008C2E11" w:rsidRPr="00B3329E">
        <w:rPr>
          <w:rFonts w:ascii="Tahoma" w:hAnsi="Tahoma" w:cs="Tahoma"/>
          <w:color w:val="000000" w:themeColor="text1"/>
        </w:rPr>
        <w:t xml:space="preserve">  This</w:t>
      </w:r>
      <w:r w:rsidR="001456AE" w:rsidRPr="00B3329E">
        <w:rPr>
          <w:rFonts w:ascii="Tahoma" w:hAnsi="Tahoma" w:cs="Tahoma"/>
          <w:color w:val="000000" w:themeColor="text1"/>
        </w:rPr>
        <w:t xml:space="preserve"> </w:t>
      </w:r>
      <w:r w:rsidR="008C2E11" w:rsidRPr="00B3329E">
        <w:rPr>
          <w:rFonts w:ascii="Tahoma" w:hAnsi="Tahoma" w:cs="Tahoma"/>
          <w:color w:val="000000" w:themeColor="text1"/>
        </w:rPr>
        <w:t>represents an enhancement over previous studies that covered just a single or small number of time periods.  Rolling correlation is performed over the 20 year time period with each correlation window of</w:t>
      </w:r>
      <w:r w:rsidR="000416ED" w:rsidRPr="00B3329E">
        <w:rPr>
          <w:rFonts w:ascii="Tahoma" w:hAnsi="Tahoma" w:cs="Tahoma"/>
          <w:color w:val="000000" w:themeColor="text1"/>
        </w:rPr>
        <w:t xml:space="preserve"> 5 years and</w:t>
      </w:r>
      <w:r w:rsidR="008C2E11" w:rsidRPr="00B3329E">
        <w:rPr>
          <w:rFonts w:ascii="Tahoma" w:hAnsi="Tahoma" w:cs="Tahoma"/>
          <w:color w:val="000000" w:themeColor="text1"/>
        </w:rPr>
        <w:t xml:space="preserve"> a 1 year step between each window, which generates 16 individual 5-year data points.  </w:t>
      </w:r>
      <w:r w:rsidR="003310CA" w:rsidRPr="00B3329E">
        <w:rPr>
          <w:rFonts w:ascii="Tahoma" w:hAnsi="Tahoma" w:cs="Tahoma"/>
          <w:color w:val="000000" w:themeColor="text1"/>
        </w:rPr>
        <w:t xml:space="preserve">The 1 year step </w:t>
      </w:r>
      <w:r w:rsidR="008C2E11" w:rsidRPr="00B3329E">
        <w:rPr>
          <w:rFonts w:ascii="Tahoma" w:hAnsi="Tahoma" w:cs="Tahoma"/>
          <w:color w:val="000000" w:themeColor="text1"/>
        </w:rPr>
        <w:t>leads to an</w:t>
      </w:r>
      <w:r w:rsidR="003310CA" w:rsidRPr="00B3329E">
        <w:rPr>
          <w:rFonts w:ascii="Tahoma" w:hAnsi="Tahoma" w:cs="Tahoma"/>
          <w:color w:val="000000" w:themeColor="text1"/>
        </w:rPr>
        <w:t xml:space="preserve"> 80% overlap </w:t>
      </w:r>
      <w:r w:rsidR="008C2E11" w:rsidRPr="00B3329E">
        <w:rPr>
          <w:rFonts w:ascii="Tahoma" w:hAnsi="Tahoma" w:cs="Tahoma"/>
          <w:color w:val="000000" w:themeColor="text1"/>
        </w:rPr>
        <w:t xml:space="preserve">with </w:t>
      </w:r>
      <w:r w:rsidR="001456AE" w:rsidRPr="00B3329E">
        <w:rPr>
          <w:rFonts w:ascii="Tahoma" w:hAnsi="Tahoma" w:cs="Tahoma"/>
          <w:color w:val="000000" w:themeColor="text1"/>
        </w:rPr>
        <w:t>previous</w:t>
      </w:r>
      <w:r w:rsidR="008C2E11" w:rsidRPr="00B3329E">
        <w:rPr>
          <w:rFonts w:ascii="Tahoma" w:hAnsi="Tahoma" w:cs="Tahoma"/>
          <w:color w:val="000000" w:themeColor="text1"/>
        </w:rPr>
        <w:t xml:space="preserve"> correlation windows so </w:t>
      </w:r>
      <w:r w:rsidR="001456AE" w:rsidRPr="00B3329E">
        <w:rPr>
          <w:rFonts w:ascii="Tahoma" w:hAnsi="Tahoma" w:cs="Tahoma"/>
          <w:color w:val="000000" w:themeColor="text1"/>
        </w:rPr>
        <w:t xml:space="preserve">directional </w:t>
      </w:r>
      <w:r w:rsidR="000416ED" w:rsidRPr="00B3329E">
        <w:rPr>
          <w:rFonts w:ascii="Tahoma" w:hAnsi="Tahoma" w:cs="Tahoma"/>
          <w:color w:val="000000" w:themeColor="text1"/>
        </w:rPr>
        <w:t xml:space="preserve">trends </w:t>
      </w:r>
      <w:r w:rsidR="008C2E11" w:rsidRPr="00B3329E">
        <w:rPr>
          <w:rFonts w:ascii="Tahoma" w:hAnsi="Tahoma" w:cs="Tahoma"/>
          <w:color w:val="000000" w:themeColor="text1"/>
        </w:rPr>
        <w:t>can be identified.</w:t>
      </w:r>
      <w:r w:rsidR="003310CA" w:rsidRPr="00B3329E">
        <w:rPr>
          <w:rFonts w:ascii="Tahoma" w:hAnsi="Tahoma" w:cs="Tahoma"/>
          <w:color w:val="000000" w:themeColor="text1"/>
        </w:rPr>
        <w:t xml:space="preserve">  </w:t>
      </w:r>
    </w:p>
    <w:p w:rsidR="00FF68FF" w:rsidRPr="00B3329E" w:rsidRDefault="00FF68FF" w:rsidP="00EA6483">
      <w:pPr>
        <w:spacing w:after="0"/>
        <w:rPr>
          <w:rFonts w:ascii="Tahoma" w:hAnsi="Tahoma" w:cs="Tahoma"/>
          <w:b/>
          <w:color w:val="000000" w:themeColor="text1"/>
        </w:rPr>
      </w:pPr>
    </w:p>
    <w:p w:rsidR="004B4C33" w:rsidRPr="00B3329E" w:rsidRDefault="004B4C33" w:rsidP="00EA6483">
      <w:pPr>
        <w:spacing w:after="0"/>
        <w:rPr>
          <w:rFonts w:ascii="Tahoma" w:hAnsi="Tahoma" w:cs="Tahoma"/>
          <w:b/>
          <w:color w:val="000000" w:themeColor="text1"/>
        </w:rPr>
      </w:pPr>
    </w:p>
    <w:p w:rsidR="003310CA" w:rsidRPr="00B3329E" w:rsidRDefault="005F2BBA" w:rsidP="00A426E5">
      <w:pPr>
        <w:pStyle w:val="2"/>
        <w:rPr>
          <w:rFonts w:cs="Tahoma"/>
          <w:color w:val="000000" w:themeColor="text1"/>
        </w:rPr>
      </w:pPr>
      <w:r>
        <w:rPr>
          <w:rFonts w:cs="Tahoma"/>
          <w:color w:val="000000" w:themeColor="text1"/>
        </w:rPr>
        <w:lastRenderedPageBreak/>
        <w:t>Robustness Tests</w:t>
      </w:r>
    </w:p>
    <w:p w:rsidR="004B4C33" w:rsidRPr="00B3329E" w:rsidRDefault="004B4C33" w:rsidP="00EA6483">
      <w:pPr>
        <w:spacing w:after="0"/>
        <w:rPr>
          <w:rFonts w:ascii="Tahoma" w:hAnsi="Tahoma" w:cs="Tahoma"/>
          <w:b/>
          <w:color w:val="000000" w:themeColor="text1"/>
        </w:rPr>
      </w:pPr>
    </w:p>
    <w:p w:rsidR="005D6006" w:rsidRPr="00B3329E" w:rsidRDefault="00C31883" w:rsidP="00EA6483">
      <w:pPr>
        <w:spacing w:after="0"/>
        <w:rPr>
          <w:rFonts w:ascii="Tahoma" w:hAnsi="Tahoma" w:cs="Tahoma"/>
          <w:color w:val="000000" w:themeColor="text1"/>
        </w:rPr>
      </w:pPr>
      <w:r w:rsidRPr="00B3329E">
        <w:rPr>
          <w:rFonts w:ascii="Tahoma" w:hAnsi="Tahoma" w:cs="Tahoma"/>
          <w:color w:val="000000" w:themeColor="text1"/>
        </w:rPr>
        <w:t xml:space="preserve">By calculating </w:t>
      </w:r>
      <w:r w:rsidR="006C1750" w:rsidRPr="00B3329E">
        <w:rPr>
          <w:rFonts w:ascii="Tahoma" w:hAnsi="Tahoma" w:cs="Tahoma"/>
          <w:color w:val="000000" w:themeColor="text1"/>
        </w:rPr>
        <w:t>the correlations of active funds, infra</w:t>
      </w:r>
      <w:r w:rsidRPr="00B3329E">
        <w:rPr>
          <w:rFonts w:ascii="Tahoma" w:hAnsi="Tahoma" w:cs="Tahoma"/>
          <w:color w:val="000000" w:themeColor="text1"/>
        </w:rPr>
        <w:t>structure</w:t>
      </w:r>
      <w:r w:rsidR="006C1750" w:rsidRPr="00B3329E">
        <w:rPr>
          <w:rFonts w:ascii="Tahoma" w:hAnsi="Tahoma" w:cs="Tahoma"/>
          <w:color w:val="000000" w:themeColor="text1"/>
        </w:rPr>
        <w:t xml:space="preserve"> stocks and indices </w:t>
      </w:r>
      <w:r w:rsidR="008D28C7" w:rsidRPr="00B3329E">
        <w:rPr>
          <w:rFonts w:ascii="Tahoma" w:hAnsi="Tahoma" w:cs="Tahoma"/>
          <w:color w:val="000000" w:themeColor="text1"/>
        </w:rPr>
        <w:t>a comparison can be made</w:t>
      </w:r>
      <w:r w:rsidR="006C1750" w:rsidRPr="00B3329E">
        <w:rPr>
          <w:rFonts w:ascii="Tahoma" w:hAnsi="Tahoma" w:cs="Tahoma"/>
          <w:color w:val="000000" w:themeColor="text1"/>
        </w:rPr>
        <w:t xml:space="preserve"> on the</w:t>
      </w:r>
      <w:r w:rsidR="008D28C7" w:rsidRPr="00B3329E">
        <w:rPr>
          <w:rFonts w:ascii="Tahoma" w:hAnsi="Tahoma" w:cs="Tahoma"/>
          <w:color w:val="000000" w:themeColor="text1"/>
        </w:rPr>
        <w:t>ir</w:t>
      </w:r>
      <w:r w:rsidR="006C1750" w:rsidRPr="00B3329E">
        <w:rPr>
          <w:rFonts w:ascii="Tahoma" w:hAnsi="Tahoma" w:cs="Tahoma"/>
          <w:color w:val="000000" w:themeColor="text1"/>
        </w:rPr>
        <w:t xml:space="preserve"> relative attractive from a diversification perspective.  </w:t>
      </w:r>
      <w:r w:rsidR="005D6006" w:rsidRPr="00B3329E">
        <w:rPr>
          <w:rFonts w:ascii="Tahoma" w:hAnsi="Tahoma" w:cs="Tahoma"/>
          <w:color w:val="000000" w:themeColor="text1"/>
        </w:rPr>
        <w:t xml:space="preserve">The aim is to </w:t>
      </w:r>
      <w:r w:rsidR="00296EEF" w:rsidRPr="00B3329E">
        <w:rPr>
          <w:rFonts w:ascii="Tahoma" w:hAnsi="Tahoma" w:cs="Tahoma"/>
          <w:color w:val="000000" w:themeColor="text1"/>
        </w:rPr>
        <w:t xml:space="preserve">test the hypothesis that </w:t>
      </w:r>
      <w:r w:rsidR="005D6006" w:rsidRPr="00B3329E">
        <w:rPr>
          <w:rFonts w:ascii="Tahoma" w:hAnsi="Tahoma" w:cs="Tahoma"/>
          <w:color w:val="000000" w:themeColor="text1"/>
        </w:rPr>
        <w:t xml:space="preserve">different listed infrastructure strategies </w:t>
      </w:r>
      <w:r w:rsidR="008D28C7" w:rsidRPr="00B3329E">
        <w:rPr>
          <w:rFonts w:ascii="Tahoma" w:hAnsi="Tahoma" w:cs="Tahoma"/>
          <w:color w:val="000000" w:themeColor="text1"/>
        </w:rPr>
        <w:t>are uniformly correlated with global equities.  I</w:t>
      </w:r>
      <w:r w:rsidR="00296EEF" w:rsidRPr="00B3329E">
        <w:rPr>
          <w:rFonts w:ascii="Tahoma" w:hAnsi="Tahoma" w:cs="Tahoma"/>
          <w:color w:val="000000" w:themeColor="text1"/>
        </w:rPr>
        <w:t xml:space="preserve">f </w:t>
      </w:r>
      <w:r w:rsidR="008D28C7" w:rsidRPr="00B3329E">
        <w:rPr>
          <w:rFonts w:ascii="Tahoma" w:hAnsi="Tahoma" w:cs="Tahoma"/>
          <w:color w:val="000000" w:themeColor="text1"/>
        </w:rPr>
        <w:t xml:space="preserve">this can be </w:t>
      </w:r>
      <w:r w:rsidR="00296EEF" w:rsidRPr="00B3329E">
        <w:rPr>
          <w:rFonts w:ascii="Tahoma" w:hAnsi="Tahoma" w:cs="Tahoma"/>
          <w:color w:val="000000" w:themeColor="text1"/>
        </w:rPr>
        <w:t>reject</w:t>
      </w:r>
      <w:r w:rsidR="008D28C7" w:rsidRPr="00B3329E">
        <w:rPr>
          <w:rFonts w:ascii="Tahoma" w:hAnsi="Tahoma" w:cs="Tahoma"/>
          <w:color w:val="000000" w:themeColor="text1"/>
        </w:rPr>
        <w:t>ed</w:t>
      </w:r>
      <w:r w:rsidR="00296EEF" w:rsidRPr="00B3329E">
        <w:rPr>
          <w:rFonts w:ascii="Tahoma" w:hAnsi="Tahoma" w:cs="Tahoma"/>
          <w:color w:val="000000" w:themeColor="text1"/>
        </w:rPr>
        <w:t xml:space="preserve"> th</w:t>
      </w:r>
      <w:r w:rsidR="008D28C7" w:rsidRPr="00B3329E">
        <w:rPr>
          <w:rFonts w:ascii="Tahoma" w:hAnsi="Tahoma" w:cs="Tahoma"/>
          <w:color w:val="000000" w:themeColor="text1"/>
        </w:rPr>
        <w:t xml:space="preserve">en </w:t>
      </w:r>
      <w:r w:rsidR="00296EEF" w:rsidRPr="00B3329E">
        <w:rPr>
          <w:rFonts w:ascii="Tahoma" w:hAnsi="Tahoma" w:cs="Tahoma"/>
          <w:color w:val="000000" w:themeColor="text1"/>
        </w:rPr>
        <w:t xml:space="preserve">alternative hypothesis </w:t>
      </w:r>
      <w:r w:rsidR="008D28C7" w:rsidRPr="00B3329E">
        <w:rPr>
          <w:rFonts w:ascii="Tahoma" w:hAnsi="Tahoma" w:cs="Tahoma"/>
          <w:color w:val="000000" w:themeColor="text1"/>
        </w:rPr>
        <w:t xml:space="preserve">that </w:t>
      </w:r>
      <w:r w:rsidR="00296EEF" w:rsidRPr="00B3329E">
        <w:rPr>
          <w:rFonts w:ascii="Tahoma" w:hAnsi="Tahoma" w:cs="Tahoma"/>
          <w:color w:val="000000" w:themeColor="text1"/>
        </w:rPr>
        <w:t xml:space="preserve">there </w:t>
      </w:r>
      <w:r w:rsidR="005D6006" w:rsidRPr="00B3329E">
        <w:rPr>
          <w:rFonts w:ascii="Tahoma" w:hAnsi="Tahoma" w:cs="Tahoma"/>
          <w:color w:val="000000" w:themeColor="text1"/>
        </w:rPr>
        <w:t>are significantly different levels</w:t>
      </w:r>
      <w:r w:rsidR="00296EEF" w:rsidRPr="00B3329E">
        <w:rPr>
          <w:rFonts w:ascii="Tahoma" w:hAnsi="Tahoma" w:cs="Tahoma"/>
          <w:color w:val="000000" w:themeColor="text1"/>
        </w:rPr>
        <w:t xml:space="preserve"> of correlation</w:t>
      </w:r>
      <w:r w:rsidR="008D28C7" w:rsidRPr="00B3329E">
        <w:rPr>
          <w:rFonts w:ascii="Tahoma" w:hAnsi="Tahoma" w:cs="Tahoma"/>
          <w:color w:val="000000" w:themeColor="text1"/>
        </w:rPr>
        <w:t xml:space="preserve"> can be accepted</w:t>
      </w:r>
      <w:r w:rsidR="005D6006" w:rsidRPr="00B3329E">
        <w:rPr>
          <w:rFonts w:ascii="Tahoma" w:hAnsi="Tahoma" w:cs="Tahoma"/>
          <w:color w:val="000000" w:themeColor="text1"/>
        </w:rPr>
        <w:t xml:space="preserve">, </w:t>
      </w:r>
      <w:r w:rsidR="008D28C7" w:rsidRPr="00B3329E">
        <w:rPr>
          <w:rFonts w:ascii="Tahoma" w:hAnsi="Tahoma" w:cs="Tahoma"/>
          <w:color w:val="000000" w:themeColor="text1"/>
        </w:rPr>
        <w:t>indicating that the asset class’</w:t>
      </w:r>
      <w:r w:rsidR="005D6006" w:rsidRPr="00B3329E">
        <w:rPr>
          <w:rFonts w:ascii="Tahoma" w:hAnsi="Tahoma" w:cs="Tahoma"/>
          <w:color w:val="000000" w:themeColor="text1"/>
        </w:rPr>
        <w:t xml:space="preserve">s perceived heterogeneity is reflected in the sample means.  </w:t>
      </w:r>
      <w:r w:rsidR="006C1750" w:rsidRPr="00B3329E">
        <w:rPr>
          <w:rFonts w:ascii="Tahoma" w:hAnsi="Tahoma" w:cs="Tahoma"/>
          <w:color w:val="000000" w:themeColor="text1"/>
        </w:rPr>
        <w:t xml:space="preserve">This </w:t>
      </w:r>
      <w:r w:rsidR="005D6006" w:rsidRPr="00B3329E">
        <w:rPr>
          <w:rFonts w:ascii="Tahoma" w:hAnsi="Tahoma" w:cs="Tahoma"/>
          <w:color w:val="000000" w:themeColor="text1"/>
        </w:rPr>
        <w:t>builds o</w:t>
      </w:r>
      <w:r w:rsidR="00296EEF" w:rsidRPr="00B3329E">
        <w:rPr>
          <w:rFonts w:ascii="Tahoma" w:hAnsi="Tahoma" w:cs="Tahoma"/>
          <w:color w:val="000000" w:themeColor="text1"/>
        </w:rPr>
        <w:t>n</w:t>
      </w:r>
      <w:r w:rsidR="008D28C7" w:rsidRPr="00B3329E">
        <w:rPr>
          <w:rFonts w:ascii="Tahoma" w:hAnsi="Tahoma" w:cs="Tahoma"/>
          <w:color w:val="000000" w:themeColor="text1"/>
        </w:rPr>
        <w:t xml:space="preserve"> the work of</w:t>
      </w:r>
      <w:r w:rsidR="006C1750" w:rsidRPr="00B3329E">
        <w:rPr>
          <w:rFonts w:ascii="Tahoma" w:hAnsi="Tahoma" w:cs="Tahoma"/>
          <w:color w:val="000000" w:themeColor="text1"/>
        </w:rPr>
        <w:t xml:space="preserve"> previous studies that have reviewed multiple </w:t>
      </w:r>
      <w:r w:rsidR="00296EEF" w:rsidRPr="00B3329E">
        <w:rPr>
          <w:rFonts w:ascii="Tahoma" w:hAnsi="Tahoma" w:cs="Tahoma"/>
          <w:color w:val="000000" w:themeColor="text1"/>
        </w:rPr>
        <w:t>strategies</w:t>
      </w:r>
      <w:r w:rsidR="006C1750" w:rsidRPr="00B3329E">
        <w:rPr>
          <w:rFonts w:ascii="Tahoma" w:hAnsi="Tahoma" w:cs="Tahoma"/>
          <w:color w:val="000000" w:themeColor="text1"/>
        </w:rPr>
        <w:t xml:space="preserve"> but not provided </w:t>
      </w:r>
      <w:r w:rsidR="005D6006" w:rsidRPr="00B3329E">
        <w:rPr>
          <w:rFonts w:ascii="Tahoma" w:hAnsi="Tahoma" w:cs="Tahoma"/>
          <w:color w:val="000000" w:themeColor="text1"/>
        </w:rPr>
        <w:t xml:space="preserve">statistical </w:t>
      </w:r>
      <w:r w:rsidR="008D28C7" w:rsidRPr="00B3329E">
        <w:rPr>
          <w:rFonts w:ascii="Tahoma" w:hAnsi="Tahoma" w:cs="Tahoma"/>
          <w:color w:val="000000" w:themeColor="text1"/>
        </w:rPr>
        <w:t>testing</w:t>
      </w:r>
      <w:r w:rsidR="005D6006" w:rsidRPr="00B3329E">
        <w:rPr>
          <w:rFonts w:ascii="Tahoma" w:hAnsi="Tahoma" w:cs="Tahoma"/>
          <w:color w:val="000000" w:themeColor="text1"/>
        </w:rPr>
        <w:t xml:space="preserve"> as part of their </w:t>
      </w:r>
      <w:r w:rsidR="006C1750" w:rsidRPr="00B3329E">
        <w:rPr>
          <w:rFonts w:ascii="Tahoma" w:hAnsi="Tahoma" w:cs="Tahoma"/>
          <w:color w:val="000000" w:themeColor="text1"/>
        </w:rPr>
        <w:t>comparison.</w:t>
      </w:r>
      <w:r w:rsidR="005D6006" w:rsidRPr="00B3329E">
        <w:rPr>
          <w:rFonts w:ascii="Tahoma" w:hAnsi="Tahoma" w:cs="Tahoma"/>
          <w:color w:val="000000" w:themeColor="text1"/>
        </w:rPr>
        <w:t xml:space="preserve">  </w:t>
      </w:r>
      <w:r w:rsidR="008B43B1" w:rsidRPr="00B3329E">
        <w:rPr>
          <w:rFonts w:ascii="Tahoma" w:hAnsi="Tahoma" w:cs="Tahoma"/>
          <w:color w:val="000000" w:themeColor="text1"/>
        </w:rPr>
        <w:t>Blanc-Brude et al (2016)</w:t>
      </w:r>
    </w:p>
    <w:p w:rsidR="00EA6483" w:rsidRPr="00B3329E" w:rsidRDefault="00EA6483" w:rsidP="00EA6483">
      <w:pPr>
        <w:spacing w:after="0"/>
        <w:rPr>
          <w:rFonts w:ascii="Tahoma" w:hAnsi="Tahoma" w:cs="Tahoma"/>
          <w:color w:val="000000" w:themeColor="text1"/>
        </w:rPr>
      </w:pPr>
    </w:p>
    <w:p w:rsidR="003310CA" w:rsidRPr="00B3329E" w:rsidRDefault="005D6006" w:rsidP="00EA6483">
      <w:pPr>
        <w:spacing w:after="0"/>
        <w:rPr>
          <w:rFonts w:ascii="Tahoma" w:hAnsi="Tahoma" w:cs="Tahoma"/>
          <w:color w:val="000000" w:themeColor="text1"/>
        </w:rPr>
      </w:pPr>
      <w:r w:rsidRPr="00B3329E">
        <w:rPr>
          <w:rFonts w:ascii="Tahoma" w:hAnsi="Tahoma" w:cs="Tahoma"/>
          <w:color w:val="000000" w:themeColor="text1"/>
        </w:rPr>
        <w:t xml:space="preserve">To </w:t>
      </w:r>
      <w:r w:rsidR="00296EEF" w:rsidRPr="00B3329E">
        <w:rPr>
          <w:rFonts w:ascii="Tahoma" w:hAnsi="Tahoma" w:cs="Tahoma"/>
          <w:color w:val="000000" w:themeColor="text1"/>
        </w:rPr>
        <w:t>test the hypothesis</w:t>
      </w:r>
      <w:r w:rsidRPr="00B3329E">
        <w:rPr>
          <w:rFonts w:ascii="Tahoma" w:hAnsi="Tahoma" w:cs="Tahoma"/>
          <w:color w:val="000000" w:themeColor="text1"/>
        </w:rPr>
        <w:t>, t-tests are performed, specifically the two-tailed t-test for population means with unknown variance.  This allows us to test the exploratory hypoth</w:t>
      </w:r>
      <w:r w:rsidR="00296EEF" w:rsidRPr="00B3329E">
        <w:rPr>
          <w:rFonts w:ascii="Tahoma" w:hAnsi="Tahoma" w:cs="Tahoma"/>
          <w:color w:val="000000" w:themeColor="text1"/>
        </w:rPr>
        <w:t>esis that that the two samples have equal</w:t>
      </w:r>
      <w:r w:rsidR="00D00D9C" w:rsidRPr="00B3329E">
        <w:rPr>
          <w:rFonts w:ascii="Tahoma" w:hAnsi="Tahoma" w:cs="Tahoma"/>
          <w:color w:val="000000" w:themeColor="text1"/>
        </w:rPr>
        <w:t xml:space="preserve"> means (null hypothesis) and if null hypothesis can be rejected then</w:t>
      </w:r>
      <w:r w:rsidRPr="00B3329E">
        <w:rPr>
          <w:rFonts w:ascii="Tahoma" w:hAnsi="Tahoma" w:cs="Tahoma"/>
          <w:color w:val="000000" w:themeColor="text1"/>
        </w:rPr>
        <w:t xml:space="preserve"> alternative hypothesis</w:t>
      </w:r>
      <w:r w:rsidR="00296EEF" w:rsidRPr="00B3329E">
        <w:rPr>
          <w:rFonts w:ascii="Tahoma" w:hAnsi="Tahoma" w:cs="Tahoma"/>
          <w:color w:val="000000" w:themeColor="text1"/>
        </w:rPr>
        <w:t>,</w:t>
      </w:r>
      <w:r w:rsidRPr="00B3329E">
        <w:rPr>
          <w:rFonts w:ascii="Tahoma" w:hAnsi="Tahoma" w:cs="Tahoma"/>
          <w:color w:val="000000" w:themeColor="text1"/>
        </w:rPr>
        <w:t xml:space="preserve"> that the means off th</w:t>
      </w:r>
      <w:r w:rsidR="00296EEF" w:rsidRPr="00B3329E">
        <w:rPr>
          <w:rFonts w:ascii="Tahoma" w:hAnsi="Tahoma" w:cs="Tahoma"/>
          <w:color w:val="000000" w:themeColor="text1"/>
        </w:rPr>
        <w:t>e two populations are different, can be accepted.</w:t>
      </w:r>
      <w:r w:rsidR="00D00D9C" w:rsidRPr="00B3329E">
        <w:rPr>
          <w:rFonts w:ascii="Tahoma" w:hAnsi="Tahoma" w:cs="Tahoma"/>
          <w:color w:val="000000" w:themeColor="text1"/>
        </w:rPr>
        <w:t xml:space="preserve">  </w:t>
      </w:r>
      <w:r w:rsidR="000B1C53" w:rsidRPr="00B3329E">
        <w:rPr>
          <w:rFonts w:ascii="Tahoma" w:hAnsi="Tahoma" w:cs="Tahoma"/>
          <w:color w:val="000000" w:themeColor="text1"/>
        </w:rPr>
        <w:t xml:space="preserve">Practically, this requires the correlation with global equities to be </w:t>
      </w:r>
      <w:r w:rsidR="003310CA" w:rsidRPr="00B3329E">
        <w:rPr>
          <w:rFonts w:ascii="Tahoma" w:hAnsi="Tahoma" w:cs="Tahoma"/>
          <w:color w:val="000000" w:themeColor="text1"/>
        </w:rPr>
        <w:t>calculated for each infrastructure investment,</w:t>
      </w:r>
      <w:r w:rsidR="000B1C53" w:rsidRPr="00B3329E">
        <w:rPr>
          <w:rFonts w:ascii="Tahoma" w:hAnsi="Tahoma" w:cs="Tahoma"/>
          <w:color w:val="000000" w:themeColor="text1"/>
        </w:rPr>
        <w:t xml:space="preserve"> </w:t>
      </w:r>
      <w:r w:rsidR="00D00D9C" w:rsidRPr="00B3329E">
        <w:rPr>
          <w:rFonts w:ascii="Tahoma" w:hAnsi="Tahoma" w:cs="Tahoma"/>
          <w:color w:val="000000" w:themeColor="text1"/>
        </w:rPr>
        <w:t>which are then</w:t>
      </w:r>
      <w:r w:rsidR="00F33519" w:rsidRPr="00B3329E">
        <w:rPr>
          <w:rFonts w:ascii="Tahoma" w:hAnsi="Tahoma" w:cs="Tahoma"/>
          <w:color w:val="000000" w:themeColor="text1"/>
        </w:rPr>
        <w:t xml:space="preserve"> aggregated into a sample set from which the mean is calculated.  The sample mean is then tested against another sample’s mean </w:t>
      </w:r>
      <w:r w:rsidR="003310CA" w:rsidRPr="00B3329E">
        <w:rPr>
          <w:rFonts w:ascii="Tahoma" w:hAnsi="Tahoma" w:cs="Tahoma"/>
          <w:color w:val="000000" w:themeColor="text1"/>
        </w:rPr>
        <w:t>to determine if there is a signif</w:t>
      </w:r>
      <w:r w:rsidR="005600DC" w:rsidRPr="00B3329E">
        <w:rPr>
          <w:rFonts w:ascii="Tahoma" w:hAnsi="Tahoma" w:cs="Tahoma"/>
          <w:color w:val="000000" w:themeColor="text1"/>
        </w:rPr>
        <w:t xml:space="preserve">icant difference between them. </w:t>
      </w:r>
      <w:r w:rsidR="00F33519" w:rsidRPr="00B3329E">
        <w:rPr>
          <w:rFonts w:ascii="Tahoma" w:hAnsi="Tahoma" w:cs="Tahoma"/>
          <w:color w:val="000000" w:themeColor="text1"/>
        </w:rPr>
        <w:t xml:space="preserve"> </w:t>
      </w:r>
    </w:p>
    <w:p w:rsidR="003310CA" w:rsidRPr="00B3329E" w:rsidRDefault="003310CA" w:rsidP="00EA6483">
      <w:pPr>
        <w:spacing w:after="0"/>
        <w:rPr>
          <w:rFonts w:ascii="Tahoma" w:hAnsi="Tahoma" w:cs="Tahoma"/>
          <w:bCs/>
          <w:color w:val="000000" w:themeColor="text1"/>
        </w:rPr>
      </w:pPr>
      <w:r w:rsidRPr="00B3329E">
        <w:rPr>
          <w:rFonts w:ascii="Tahoma" w:hAnsi="Tahoma" w:cs="Tahoma"/>
          <w:color w:val="000000" w:themeColor="text1"/>
        </w:rPr>
        <w:t xml:space="preserve">The hypothesis and t-test equation are provided in </w:t>
      </w:r>
      <w:r w:rsidR="00593921">
        <w:rPr>
          <w:rFonts w:ascii="Tahoma" w:hAnsi="Tahoma" w:cs="Tahoma"/>
          <w:color w:val="000000" w:themeColor="text1"/>
        </w:rPr>
        <w:t>F</w:t>
      </w:r>
      <w:r w:rsidRPr="00B3329E">
        <w:rPr>
          <w:rFonts w:ascii="Tahoma" w:hAnsi="Tahoma" w:cs="Tahoma"/>
          <w:color w:val="000000" w:themeColor="text1"/>
        </w:rPr>
        <w:t xml:space="preserve">igure </w:t>
      </w:r>
      <w:r w:rsidR="00593921">
        <w:rPr>
          <w:rFonts w:ascii="Tahoma" w:hAnsi="Tahoma" w:cs="Tahoma"/>
          <w:color w:val="000000" w:themeColor="text1"/>
        </w:rPr>
        <w:t>1</w:t>
      </w:r>
      <w:r w:rsidRPr="00B3329E">
        <w:rPr>
          <w:rFonts w:ascii="Tahoma" w:hAnsi="Tahoma" w:cs="Tahoma"/>
          <w:bCs/>
          <w:color w:val="000000" w:themeColor="text1"/>
        </w:rPr>
        <w:t>:</w:t>
      </w:r>
    </w:p>
    <w:p w:rsidR="00593921" w:rsidRDefault="00593921" w:rsidP="00EA6483">
      <w:pPr>
        <w:spacing w:after="0"/>
        <w:rPr>
          <w:rFonts w:ascii="Tahoma" w:hAnsi="Tahoma" w:cs="Tahoma"/>
          <w:bCs/>
          <w:color w:val="000000" w:themeColor="text1"/>
        </w:rPr>
      </w:pPr>
    </w:p>
    <w:p w:rsidR="00593921" w:rsidRDefault="00593921" w:rsidP="002B0630">
      <w:pPr>
        <w:pStyle w:val="ab"/>
      </w:pPr>
      <w:bookmarkStart w:id="16" w:name="_Toc523319877"/>
      <w:r>
        <w:t>Figure 1: T-test</w:t>
      </w:r>
      <w:bookmarkEnd w:id="16"/>
    </w:p>
    <w:p w:rsidR="00593921" w:rsidRDefault="00593921" w:rsidP="00EA6483">
      <w:pPr>
        <w:spacing w:after="0"/>
        <w:rPr>
          <w:rFonts w:ascii="Tahoma" w:hAnsi="Tahoma" w:cs="Tahoma"/>
          <w:bCs/>
          <w:color w:val="000000" w:themeColor="text1"/>
        </w:rPr>
      </w:pPr>
    </w:p>
    <w:p w:rsidR="003310CA" w:rsidRPr="00B3329E" w:rsidRDefault="003310CA" w:rsidP="002B0630">
      <w:pPr>
        <w:spacing w:after="0"/>
        <w:ind w:firstLine="720"/>
        <w:rPr>
          <w:rFonts w:ascii="Tahoma" w:hAnsi="Tahoma" w:cs="Tahoma"/>
          <w:color w:val="000000" w:themeColor="text1"/>
        </w:rPr>
      </w:pPr>
      <w:r w:rsidRPr="00B3329E">
        <w:rPr>
          <w:rFonts w:ascii="Tahoma" w:hAnsi="Tahoma" w:cs="Tahoma"/>
          <w:bCs/>
          <w:color w:val="000000" w:themeColor="text1"/>
        </w:rPr>
        <w:t>Hypothesis:</w:t>
      </w:r>
    </w:p>
    <w:p w:rsidR="003310CA" w:rsidRPr="00B3329E" w:rsidRDefault="00A01640" w:rsidP="00EA6483">
      <w:pPr>
        <w:spacing w:after="0"/>
        <w:rPr>
          <w:rFonts w:ascii="Tahoma" w:hAnsi="Tahoma" w:cs="Tahoma"/>
          <w:color w:val="000000" w:themeColor="text1"/>
        </w:rPr>
      </w:pPr>
      <m:oMathPara>
        <m:oMath>
          <m:sSubSup>
            <m:sSubSupPr>
              <m:ctrlPr>
                <w:rPr>
                  <w:rFonts w:ascii="Cambria Math" w:hAnsi="Cambria Math" w:cs="Tahoma"/>
                  <w:i/>
                  <w:color w:val="000000" w:themeColor="text1"/>
                </w:rPr>
              </m:ctrlPr>
            </m:sSubSupPr>
            <m:e>
              <m:r>
                <w:rPr>
                  <w:rFonts w:ascii="Cambria Math" w:hAnsi="Cambria Math" w:cs="Tahoma"/>
                  <w:color w:val="000000" w:themeColor="text1"/>
                </w:rPr>
                <m:t>σ</m:t>
              </m:r>
            </m:e>
            <m:sub>
              <m:r>
                <w:rPr>
                  <w:rFonts w:ascii="Cambria Math" w:hAnsi="Cambria Math" w:cs="Tahoma"/>
                  <w:color w:val="000000" w:themeColor="text1"/>
                </w:rPr>
                <m:t>X</m:t>
              </m:r>
            </m:sub>
            <m:sup>
              <m:r>
                <w:rPr>
                  <w:rFonts w:ascii="Cambria Math" w:hAnsi="Cambria Math" w:cs="Tahoma"/>
                  <w:color w:val="000000" w:themeColor="text1"/>
                </w:rPr>
                <m:t>2</m:t>
              </m:r>
            </m:sup>
          </m:sSubSup>
          <m:r>
            <w:rPr>
              <w:rFonts w:ascii="Cambria Math" w:hAnsi="Cambria Math" w:cs="Tahoma"/>
              <w:color w:val="000000" w:themeColor="text1"/>
            </w:rPr>
            <m:t xml:space="preserve"> ≠ </m:t>
          </m:r>
          <m:sSubSup>
            <m:sSubSupPr>
              <m:ctrlPr>
                <w:rPr>
                  <w:rFonts w:ascii="Cambria Math" w:hAnsi="Cambria Math" w:cs="Tahoma"/>
                  <w:i/>
                  <w:color w:val="000000" w:themeColor="text1"/>
                </w:rPr>
              </m:ctrlPr>
            </m:sSubSupPr>
            <m:e>
              <m:r>
                <w:rPr>
                  <w:rFonts w:ascii="Cambria Math" w:hAnsi="Cambria Math" w:cs="Tahoma"/>
                  <w:color w:val="000000" w:themeColor="text1"/>
                </w:rPr>
                <m:t>σ</m:t>
              </m:r>
            </m:e>
            <m:sub>
              <m:r>
                <w:rPr>
                  <w:rFonts w:ascii="Cambria Math" w:hAnsi="Cambria Math" w:cs="Tahoma"/>
                  <w:color w:val="000000" w:themeColor="text1"/>
                </w:rPr>
                <m:t>Y</m:t>
              </m:r>
            </m:sub>
            <m:sup>
              <m:r>
                <w:rPr>
                  <w:rFonts w:ascii="Cambria Math" w:hAnsi="Cambria Math" w:cs="Tahoma"/>
                  <w:color w:val="000000" w:themeColor="text1"/>
                </w:rPr>
                <m:t>2</m:t>
              </m:r>
            </m:sup>
          </m:sSubSup>
          <m:r>
            <w:rPr>
              <w:rFonts w:ascii="Cambria Math" w:hAnsi="Cambria Math" w:cs="Tahoma"/>
              <w:color w:val="000000" w:themeColor="text1"/>
            </w:rPr>
            <m:t xml:space="preserve"> </m:t>
          </m:r>
        </m:oMath>
      </m:oMathPara>
    </w:p>
    <w:p w:rsidR="003310CA" w:rsidRPr="00B3329E" w:rsidRDefault="00A01640" w:rsidP="00EA6483">
      <w:pPr>
        <w:spacing w:after="0"/>
        <w:rPr>
          <w:rFonts w:ascii="Tahoma" w:hAnsi="Tahoma" w:cs="Tahoma"/>
          <w:color w:val="000000" w:themeColor="text1"/>
        </w:rPr>
      </w:pPr>
      <m:oMathPara>
        <m:oMath>
          <m:sSub>
            <m:sSubPr>
              <m:ctrlPr>
                <w:rPr>
                  <w:rFonts w:ascii="Cambria Math" w:hAnsi="Cambria Math" w:cs="Tahoma"/>
                  <w:i/>
                  <w:color w:val="000000" w:themeColor="text1"/>
                </w:rPr>
              </m:ctrlPr>
            </m:sSubPr>
            <m:e>
              <m:r>
                <w:rPr>
                  <w:rFonts w:ascii="Cambria Math" w:hAnsi="Cambria Math" w:cs="Tahoma"/>
                  <w:color w:val="000000" w:themeColor="text1"/>
                </w:rPr>
                <m:t>H</m:t>
              </m:r>
            </m:e>
            <m:sub>
              <m:r>
                <w:rPr>
                  <w:rFonts w:ascii="Cambria Math" w:hAnsi="Cambria Math" w:cs="Tahoma"/>
                  <w:color w:val="000000" w:themeColor="text1"/>
                </w:rPr>
                <m:t>o</m:t>
              </m:r>
            </m:sub>
          </m:sSub>
          <m:r>
            <w:rPr>
              <w:rFonts w:ascii="Cambria Math" w:hAnsi="Cambria Math" w:cs="Tahoma"/>
              <w:color w:val="000000" w:themeColor="text1"/>
            </w:rPr>
            <m:t xml:space="preserve">: </m:t>
          </m:r>
          <m:sSub>
            <m:sSubPr>
              <m:ctrlPr>
                <w:rPr>
                  <w:rFonts w:ascii="Cambria Math" w:hAnsi="Cambria Math" w:cs="Tahoma"/>
                  <w:i/>
                  <w:color w:val="000000" w:themeColor="text1"/>
                </w:rPr>
              </m:ctrlPr>
            </m:sSubPr>
            <m:e>
              <m:r>
                <w:rPr>
                  <w:rFonts w:ascii="Cambria Math" w:hAnsi="Cambria Math" w:cs="Tahoma"/>
                  <w:color w:val="000000" w:themeColor="text1"/>
                </w:rPr>
                <m:t>μ</m:t>
              </m:r>
            </m:e>
            <m:sub>
              <m:r>
                <w:rPr>
                  <w:rFonts w:ascii="Cambria Math" w:hAnsi="Cambria Math" w:cs="Tahoma"/>
                  <w:color w:val="000000" w:themeColor="text1"/>
                </w:rPr>
                <m:t>A</m:t>
              </m:r>
            </m:sub>
          </m:sSub>
          <m:r>
            <w:rPr>
              <w:rFonts w:ascii="Cambria Math" w:hAnsi="Cambria Math" w:cs="Tahoma"/>
              <w:color w:val="000000" w:themeColor="text1"/>
            </w:rPr>
            <m:t xml:space="preserve">- </m:t>
          </m:r>
          <m:sSub>
            <m:sSubPr>
              <m:ctrlPr>
                <w:rPr>
                  <w:rFonts w:ascii="Cambria Math" w:hAnsi="Cambria Math" w:cs="Tahoma"/>
                  <w:i/>
                  <w:color w:val="000000" w:themeColor="text1"/>
                </w:rPr>
              </m:ctrlPr>
            </m:sSubPr>
            <m:e>
              <m:r>
                <w:rPr>
                  <w:rFonts w:ascii="Cambria Math" w:hAnsi="Cambria Math" w:cs="Tahoma"/>
                  <w:color w:val="000000" w:themeColor="text1"/>
                </w:rPr>
                <m:t>μ</m:t>
              </m:r>
            </m:e>
            <m:sub>
              <m:r>
                <w:rPr>
                  <w:rFonts w:ascii="Cambria Math" w:hAnsi="Cambria Math" w:cs="Tahoma"/>
                  <w:color w:val="000000" w:themeColor="text1"/>
                </w:rPr>
                <m:t xml:space="preserve">I </m:t>
              </m:r>
            </m:sub>
          </m:sSub>
          <m:r>
            <w:rPr>
              <w:rFonts w:ascii="Cambria Math" w:hAnsi="Cambria Math" w:cs="Tahoma"/>
              <w:color w:val="000000" w:themeColor="text1"/>
            </w:rPr>
            <m:t>=0</m:t>
          </m:r>
        </m:oMath>
      </m:oMathPara>
    </w:p>
    <w:p w:rsidR="003310CA" w:rsidRPr="00B3329E" w:rsidRDefault="00A01640" w:rsidP="00EA6483">
      <w:pPr>
        <w:spacing w:after="0"/>
        <w:rPr>
          <w:rFonts w:ascii="Tahoma" w:hAnsi="Tahoma" w:cs="Tahoma"/>
          <w:color w:val="000000" w:themeColor="text1"/>
        </w:rPr>
      </w:pPr>
      <m:oMathPara>
        <m:oMath>
          <m:sSub>
            <m:sSubPr>
              <m:ctrlPr>
                <w:rPr>
                  <w:rFonts w:ascii="Cambria Math" w:hAnsi="Cambria Math" w:cs="Tahoma"/>
                  <w:i/>
                  <w:color w:val="000000" w:themeColor="text1"/>
                </w:rPr>
              </m:ctrlPr>
            </m:sSubPr>
            <m:e>
              <m:r>
                <w:rPr>
                  <w:rFonts w:ascii="Cambria Math" w:hAnsi="Cambria Math" w:cs="Tahoma"/>
                  <w:color w:val="000000" w:themeColor="text1"/>
                </w:rPr>
                <m:t>H</m:t>
              </m:r>
            </m:e>
            <m:sub>
              <m:r>
                <w:rPr>
                  <w:rFonts w:ascii="Cambria Math" w:hAnsi="Cambria Math" w:cs="Tahoma"/>
                  <w:color w:val="000000" w:themeColor="text1"/>
                </w:rPr>
                <m:t>A</m:t>
              </m:r>
            </m:sub>
          </m:sSub>
          <m:r>
            <w:rPr>
              <w:rFonts w:ascii="Cambria Math" w:hAnsi="Cambria Math" w:cs="Tahoma"/>
              <w:color w:val="000000" w:themeColor="text1"/>
            </w:rPr>
            <m:t xml:space="preserve">: </m:t>
          </m:r>
          <m:sSub>
            <m:sSubPr>
              <m:ctrlPr>
                <w:rPr>
                  <w:rFonts w:ascii="Cambria Math" w:hAnsi="Cambria Math" w:cs="Tahoma"/>
                  <w:i/>
                  <w:color w:val="000000" w:themeColor="text1"/>
                </w:rPr>
              </m:ctrlPr>
            </m:sSubPr>
            <m:e>
              <m:r>
                <w:rPr>
                  <w:rFonts w:ascii="Cambria Math" w:hAnsi="Cambria Math" w:cs="Tahoma"/>
                  <w:color w:val="000000" w:themeColor="text1"/>
                </w:rPr>
                <m:t>μ</m:t>
              </m:r>
            </m:e>
            <m:sub>
              <m:r>
                <w:rPr>
                  <w:rFonts w:ascii="Cambria Math" w:hAnsi="Cambria Math" w:cs="Tahoma"/>
                  <w:color w:val="000000" w:themeColor="text1"/>
                </w:rPr>
                <m:t>A</m:t>
              </m:r>
            </m:sub>
          </m:sSub>
          <m:r>
            <w:rPr>
              <w:rFonts w:ascii="Cambria Math" w:hAnsi="Cambria Math" w:cs="Tahoma"/>
              <w:color w:val="000000" w:themeColor="text1"/>
            </w:rPr>
            <m:t xml:space="preserve">- </m:t>
          </m:r>
          <m:sSub>
            <m:sSubPr>
              <m:ctrlPr>
                <w:rPr>
                  <w:rFonts w:ascii="Cambria Math" w:hAnsi="Cambria Math" w:cs="Tahoma"/>
                  <w:i/>
                  <w:color w:val="000000" w:themeColor="text1"/>
                </w:rPr>
              </m:ctrlPr>
            </m:sSubPr>
            <m:e>
              <m:r>
                <w:rPr>
                  <w:rFonts w:ascii="Cambria Math" w:hAnsi="Cambria Math" w:cs="Tahoma"/>
                  <w:color w:val="000000" w:themeColor="text1"/>
                </w:rPr>
                <m:t>μ</m:t>
              </m:r>
            </m:e>
            <m:sub>
              <m:r>
                <w:rPr>
                  <w:rFonts w:ascii="Cambria Math" w:hAnsi="Cambria Math" w:cs="Tahoma"/>
                  <w:color w:val="000000" w:themeColor="text1"/>
                </w:rPr>
                <m:t xml:space="preserve">I </m:t>
              </m:r>
            </m:sub>
          </m:sSub>
          <m:r>
            <w:rPr>
              <w:rFonts w:ascii="Cambria Math" w:hAnsi="Cambria Math" w:cs="Tahoma"/>
              <w:color w:val="000000" w:themeColor="text1"/>
            </w:rPr>
            <m:t>≠0</m:t>
          </m:r>
        </m:oMath>
      </m:oMathPara>
    </w:p>
    <w:p w:rsidR="003310CA" w:rsidRPr="00B3329E" w:rsidRDefault="003310CA"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3310CA" w:rsidRPr="00B3329E" w:rsidRDefault="00F33519" w:rsidP="002B0630">
      <w:pPr>
        <w:spacing w:after="0"/>
        <w:ind w:firstLine="720"/>
        <w:rPr>
          <w:rFonts w:ascii="Tahoma" w:hAnsi="Tahoma" w:cs="Tahoma"/>
          <w:color w:val="000000" w:themeColor="text1"/>
        </w:rPr>
      </w:pPr>
      <w:r w:rsidRPr="00B3329E">
        <w:rPr>
          <w:rFonts w:ascii="Tahoma" w:hAnsi="Tahoma" w:cs="Tahoma"/>
          <w:color w:val="000000" w:themeColor="text1"/>
        </w:rPr>
        <w:t>T</w:t>
      </w:r>
      <w:r w:rsidR="003310CA" w:rsidRPr="00B3329E">
        <w:rPr>
          <w:rFonts w:ascii="Tahoma" w:hAnsi="Tahoma" w:cs="Tahoma"/>
          <w:color w:val="000000" w:themeColor="text1"/>
        </w:rPr>
        <w:t>-test:</w:t>
      </w:r>
    </w:p>
    <w:p w:rsidR="003310CA" w:rsidRPr="00B3329E" w:rsidRDefault="003310CA" w:rsidP="00EA6483">
      <w:pPr>
        <w:spacing w:after="0"/>
        <w:rPr>
          <w:rFonts w:ascii="Tahoma" w:hAnsi="Tahoma" w:cs="Tahoma"/>
          <w:color w:val="000000" w:themeColor="text1"/>
        </w:rPr>
      </w:pPr>
      <m:oMathPara>
        <m:oMath>
          <m:r>
            <w:rPr>
              <w:rFonts w:ascii="Cambria Math" w:hAnsi="Cambria Math" w:cs="Tahoma"/>
              <w:color w:val="000000" w:themeColor="text1"/>
            </w:rPr>
            <m:t>T=</m:t>
          </m:r>
          <m:f>
            <m:fPr>
              <m:ctrlPr>
                <w:rPr>
                  <w:rFonts w:ascii="Cambria Math" w:hAnsi="Cambria Math" w:cs="Tahoma"/>
                  <w:i/>
                  <w:color w:val="000000" w:themeColor="text1"/>
                </w:rPr>
              </m:ctrlPr>
            </m:fPr>
            <m:num>
              <m:d>
                <m:dPr>
                  <m:ctrlPr>
                    <w:rPr>
                      <w:rFonts w:ascii="Cambria Math" w:hAnsi="Cambria Math" w:cs="Tahoma"/>
                      <w:i/>
                      <w:color w:val="000000" w:themeColor="text1"/>
                    </w:rPr>
                  </m:ctrlPr>
                </m:dPr>
                <m:e>
                  <m:acc>
                    <m:accPr>
                      <m:chr m:val="̅"/>
                      <m:ctrlPr>
                        <w:rPr>
                          <w:rFonts w:ascii="Cambria Math" w:hAnsi="Cambria Math" w:cs="Tahoma"/>
                          <w:i/>
                          <w:color w:val="000000" w:themeColor="text1"/>
                        </w:rPr>
                      </m:ctrlPr>
                    </m:accPr>
                    <m:e>
                      <m:r>
                        <w:rPr>
                          <w:rFonts w:ascii="Cambria Math" w:hAnsi="Cambria Math" w:cs="Tahoma"/>
                          <w:color w:val="000000" w:themeColor="text1"/>
                        </w:rPr>
                        <m:t>X</m:t>
                      </m:r>
                    </m:e>
                  </m:acc>
                  <m:r>
                    <w:rPr>
                      <w:rFonts w:ascii="Cambria Math" w:hAnsi="Cambria Math" w:cs="Tahoma"/>
                      <w:color w:val="000000" w:themeColor="text1"/>
                    </w:rPr>
                    <m:t xml:space="preserve">- </m:t>
                  </m:r>
                  <m:acc>
                    <m:accPr>
                      <m:chr m:val="̅"/>
                      <m:ctrlPr>
                        <w:rPr>
                          <w:rFonts w:ascii="Cambria Math" w:hAnsi="Cambria Math" w:cs="Tahoma"/>
                          <w:i/>
                          <w:color w:val="000000" w:themeColor="text1"/>
                        </w:rPr>
                      </m:ctrlPr>
                    </m:accPr>
                    <m:e>
                      <m:r>
                        <w:rPr>
                          <w:rFonts w:ascii="Cambria Math" w:hAnsi="Cambria Math" w:cs="Tahoma"/>
                          <w:color w:val="000000" w:themeColor="text1"/>
                        </w:rPr>
                        <m:t>Y</m:t>
                      </m:r>
                    </m:e>
                  </m:acc>
                </m:e>
              </m:d>
              <m:r>
                <w:rPr>
                  <w:rFonts w:ascii="Cambria Math" w:hAnsi="Cambria Math" w:cs="Tahoma"/>
                  <w:color w:val="000000" w:themeColor="text1"/>
                </w:rPr>
                <m:t>-(</m:t>
              </m:r>
              <m:sSub>
                <m:sSubPr>
                  <m:ctrlPr>
                    <w:rPr>
                      <w:rFonts w:ascii="Cambria Math" w:hAnsi="Cambria Math" w:cs="Tahoma"/>
                      <w:i/>
                      <w:color w:val="000000" w:themeColor="text1"/>
                    </w:rPr>
                  </m:ctrlPr>
                </m:sSubPr>
                <m:e>
                  <m:r>
                    <w:rPr>
                      <w:rFonts w:ascii="Cambria Math" w:hAnsi="Cambria Math" w:cs="Tahoma"/>
                      <w:color w:val="000000" w:themeColor="text1"/>
                    </w:rPr>
                    <m:t>μ</m:t>
                  </m:r>
                </m:e>
                <m:sub>
                  <m:r>
                    <w:rPr>
                      <w:rFonts w:ascii="Cambria Math" w:hAnsi="Cambria Math" w:cs="Tahoma"/>
                      <w:color w:val="000000" w:themeColor="text1"/>
                    </w:rPr>
                    <m:t>a</m:t>
                  </m:r>
                </m:sub>
              </m:sSub>
              <m:r>
                <w:rPr>
                  <w:rFonts w:ascii="Cambria Math" w:hAnsi="Cambria Math" w:cs="Tahoma"/>
                  <w:color w:val="000000" w:themeColor="text1"/>
                </w:rPr>
                <m:t>-</m:t>
              </m:r>
              <m:sSub>
                <m:sSubPr>
                  <m:ctrlPr>
                    <w:rPr>
                      <w:rFonts w:ascii="Cambria Math" w:hAnsi="Cambria Math" w:cs="Tahoma"/>
                      <w:i/>
                      <w:color w:val="000000" w:themeColor="text1"/>
                    </w:rPr>
                  </m:ctrlPr>
                </m:sSubPr>
                <m:e>
                  <m:r>
                    <w:rPr>
                      <w:rFonts w:ascii="Cambria Math" w:hAnsi="Cambria Math" w:cs="Tahoma"/>
                      <w:color w:val="000000" w:themeColor="text1"/>
                    </w:rPr>
                    <m:t>μ</m:t>
                  </m:r>
                </m:e>
                <m:sub>
                  <m:r>
                    <w:rPr>
                      <w:rFonts w:ascii="Cambria Math" w:hAnsi="Cambria Math" w:cs="Tahoma"/>
                      <w:color w:val="000000" w:themeColor="text1"/>
                    </w:rPr>
                    <m:t>i</m:t>
                  </m:r>
                </m:sub>
              </m:sSub>
              <m:r>
                <w:rPr>
                  <w:rFonts w:ascii="Cambria Math" w:hAnsi="Cambria Math" w:cs="Tahoma"/>
                  <w:color w:val="000000" w:themeColor="text1"/>
                </w:rPr>
                <m:t>)</m:t>
              </m:r>
            </m:num>
            <m:den>
              <m:rad>
                <m:radPr>
                  <m:degHide m:val="1"/>
                  <m:ctrlPr>
                    <w:rPr>
                      <w:rFonts w:ascii="Cambria Math" w:hAnsi="Cambria Math" w:cs="Tahoma"/>
                      <w:i/>
                      <w:color w:val="000000" w:themeColor="text1"/>
                    </w:rPr>
                  </m:ctrlPr>
                </m:radPr>
                <m:deg/>
                <m:e>
                  <m:f>
                    <m:fPr>
                      <m:ctrlPr>
                        <w:rPr>
                          <w:rFonts w:ascii="Cambria Math" w:hAnsi="Cambria Math" w:cs="Tahoma"/>
                          <w:i/>
                          <w:color w:val="000000" w:themeColor="text1"/>
                        </w:rPr>
                      </m:ctrlPr>
                    </m:fPr>
                    <m:num>
                      <m:sSubSup>
                        <m:sSubSupPr>
                          <m:ctrlPr>
                            <w:rPr>
                              <w:rFonts w:ascii="Cambria Math" w:hAnsi="Cambria Math" w:cs="Tahoma"/>
                              <w:i/>
                              <w:color w:val="000000" w:themeColor="text1"/>
                            </w:rPr>
                          </m:ctrlPr>
                        </m:sSubSupPr>
                        <m:e>
                          <m:r>
                            <w:rPr>
                              <w:rFonts w:ascii="Cambria Math" w:hAnsi="Cambria Math" w:cs="Tahoma"/>
                              <w:color w:val="000000" w:themeColor="text1"/>
                            </w:rPr>
                            <m:t>S</m:t>
                          </m:r>
                        </m:e>
                        <m:sub>
                          <m:r>
                            <w:rPr>
                              <w:rFonts w:ascii="Cambria Math" w:hAnsi="Cambria Math" w:cs="Tahoma"/>
                              <w:color w:val="000000" w:themeColor="text1"/>
                            </w:rPr>
                            <m:t>X</m:t>
                          </m:r>
                        </m:sub>
                        <m:sup>
                          <m:r>
                            <w:rPr>
                              <w:rFonts w:ascii="Cambria Math" w:hAnsi="Cambria Math" w:cs="Tahoma"/>
                              <w:color w:val="000000" w:themeColor="text1"/>
                            </w:rPr>
                            <m:t>2</m:t>
                          </m:r>
                        </m:sup>
                      </m:sSubSup>
                    </m:num>
                    <m:den>
                      <m:r>
                        <w:rPr>
                          <w:rFonts w:ascii="Cambria Math" w:hAnsi="Cambria Math" w:cs="Tahoma"/>
                          <w:color w:val="000000" w:themeColor="text1"/>
                        </w:rPr>
                        <m:t>n</m:t>
                      </m:r>
                    </m:den>
                  </m:f>
                  <m:r>
                    <w:rPr>
                      <w:rFonts w:ascii="Cambria Math" w:hAnsi="Cambria Math" w:cs="Tahoma"/>
                      <w:color w:val="000000" w:themeColor="text1"/>
                    </w:rPr>
                    <m:t>+</m:t>
                  </m:r>
                  <m:f>
                    <m:fPr>
                      <m:ctrlPr>
                        <w:rPr>
                          <w:rFonts w:ascii="Cambria Math" w:hAnsi="Cambria Math" w:cs="Tahoma"/>
                          <w:i/>
                          <w:color w:val="000000" w:themeColor="text1"/>
                        </w:rPr>
                      </m:ctrlPr>
                    </m:fPr>
                    <m:num>
                      <m:sSubSup>
                        <m:sSubSupPr>
                          <m:ctrlPr>
                            <w:rPr>
                              <w:rFonts w:ascii="Cambria Math" w:hAnsi="Cambria Math" w:cs="Tahoma"/>
                              <w:i/>
                              <w:color w:val="000000" w:themeColor="text1"/>
                            </w:rPr>
                          </m:ctrlPr>
                        </m:sSubSupPr>
                        <m:e>
                          <m:r>
                            <w:rPr>
                              <w:rFonts w:ascii="Cambria Math" w:hAnsi="Cambria Math" w:cs="Tahoma"/>
                              <w:color w:val="000000" w:themeColor="text1"/>
                            </w:rPr>
                            <m:t>S</m:t>
                          </m:r>
                        </m:e>
                        <m:sub>
                          <m:r>
                            <w:rPr>
                              <w:rFonts w:ascii="Cambria Math" w:hAnsi="Cambria Math" w:cs="Tahoma"/>
                              <w:color w:val="000000" w:themeColor="text1"/>
                            </w:rPr>
                            <m:t>Y</m:t>
                          </m:r>
                        </m:sub>
                        <m:sup>
                          <m:r>
                            <w:rPr>
                              <w:rFonts w:ascii="Cambria Math" w:hAnsi="Cambria Math" w:cs="Tahoma"/>
                              <w:color w:val="000000" w:themeColor="text1"/>
                            </w:rPr>
                            <m:t>2</m:t>
                          </m:r>
                        </m:sup>
                      </m:sSubSup>
                    </m:num>
                    <m:den>
                      <m:r>
                        <w:rPr>
                          <w:rFonts w:ascii="Cambria Math" w:hAnsi="Cambria Math" w:cs="Tahoma"/>
                          <w:color w:val="000000" w:themeColor="text1"/>
                        </w:rPr>
                        <m:t>m</m:t>
                      </m:r>
                    </m:den>
                  </m:f>
                </m:e>
              </m:rad>
            </m:den>
          </m:f>
          <m:r>
            <w:rPr>
              <w:rFonts w:ascii="Cambria Math" w:hAnsi="Cambria Math" w:cs="Tahoma"/>
              <w:color w:val="000000" w:themeColor="text1"/>
            </w:rPr>
            <m:t xml:space="preserve"> </m:t>
          </m:r>
        </m:oMath>
      </m:oMathPara>
    </w:p>
    <w:p w:rsidR="0063698C" w:rsidRPr="00B3329E" w:rsidRDefault="0063698C"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FC4CB0" w:rsidRPr="00B3329E" w:rsidRDefault="003310CA" w:rsidP="00EA6483">
      <w:pPr>
        <w:spacing w:after="0"/>
        <w:rPr>
          <w:rFonts w:ascii="Tahoma" w:hAnsi="Tahoma" w:cs="Tahoma"/>
          <w:color w:val="000000" w:themeColor="text1"/>
        </w:rPr>
      </w:pPr>
      <w:r w:rsidRPr="00B3329E">
        <w:rPr>
          <w:rFonts w:ascii="Tahoma" w:hAnsi="Tahoma" w:cs="Tahoma"/>
          <w:color w:val="000000" w:themeColor="text1"/>
        </w:rPr>
        <w:t>A requirement fo</w:t>
      </w:r>
      <w:r w:rsidR="003C7AAB" w:rsidRPr="00B3329E">
        <w:rPr>
          <w:rFonts w:ascii="Tahoma" w:hAnsi="Tahoma" w:cs="Tahoma"/>
          <w:color w:val="000000" w:themeColor="text1"/>
        </w:rPr>
        <w:t>r conducting a</w:t>
      </w:r>
      <w:r w:rsidRPr="00B3329E">
        <w:rPr>
          <w:rFonts w:ascii="Tahoma" w:hAnsi="Tahoma" w:cs="Tahoma"/>
          <w:color w:val="000000" w:themeColor="text1"/>
        </w:rPr>
        <w:t xml:space="preserve"> t-test is that the means are independent</w:t>
      </w:r>
      <w:r w:rsidR="00D00D9C" w:rsidRPr="00B3329E">
        <w:rPr>
          <w:rFonts w:ascii="Tahoma" w:hAnsi="Tahoma" w:cs="Tahoma"/>
          <w:color w:val="000000" w:themeColor="text1"/>
        </w:rPr>
        <w:t xml:space="preserve"> with</w:t>
      </w:r>
      <w:r w:rsidRPr="00B3329E">
        <w:rPr>
          <w:rFonts w:ascii="Tahoma" w:hAnsi="Tahoma" w:cs="Tahoma"/>
          <w:color w:val="000000" w:themeColor="text1"/>
        </w:rPr>
        <w:t xml:space="preserve"> no overlapping between the two sample groups. </w:t>
      </w:r>
      <w:r w:rsidR="00D00D9C" w:rsidRPr="00B3329E">
        <w:rPr>
          <w:rFonts w:ascii="Tahoma" w:hAnsi="Tahoma" w:cs="Tahoma"/>
          <w:color w:val="000000" w:themeColor="text1"/>
        </w:rPr>
        <w:t xml:space="preserve"> Whilst the underlying stocks may be present across the active funds, indices and MSCI World </w:t>
      </w:r>
      <w:r w:rsidRPr="00B3329E">
        <w:rPr>
          <w:rFonts w:ascii="Tahoma" w:hAnsi="Tahoma" w:cs="Tahoma"/>
          <w:color w:val="000000" w:themeColor="text1"/>
        </w:rPr>
        <w:t xml:space="preserve">they are </w:t>
      </w:r>
      <w:r w:rsidR="00D00D9C" w:rsidRPr="00B3329E">
        <w:rPr>
          <w:rFonts w:ascii="Tahoma" w:hAnsi="Tahoma" w:cs="Tahoma"/>
          <w:color w:val="000000" w:themeColor="text1"/>
        </w:rPr>
        <w:t xml:space="preserve">highly </w:t>
      </w:r>
      <w:r w:rsidRPr="00B3329E">
        <w:rPr>
          <w:rFonts w:ascii="Tahoma" w:hAnsi="Tahoma" w:cs="Tahoma"/>
          <w:color w:val="000000" w:themeColor="text1"/>
        </w:rPr>
        <w:t xml:space="preserve">unlikely to be </w:t>
      </w:r>
      <w:r w:rsidR="00D00D9C" w:rsidRPr="00B3329E">
        <w:rPr>
          <w:rFonts w:ascii="Tahoma" w:hAnsi="Tahoma" w:cs="Tahoma"/>
          <w:color w:val="000000" w:themeColor="text1"/>
        </w:rPr>
        <w:t xml:space="preserve">entirely invested in exactly the same stocks with the same size positions </w:t>
      </w:r>
      <w:r w:rsidRPr="00B3329E">
        <w:rPr>
          <w:rFonts w:ascii="Tahoma" w:hAnsi="Tahoma" w:cs="Tahoma"/>
          <w:color w:val="000000" w:themeColor="text1"/>
        </w:rPr>
        <w:t xml:space="preserve">so the test remains valid.  </w:t>
      </w:r>
    </w:p>
    <w:p w:rsidR="00EA6483" w:rsidRPr="00B3329E" w:rsidRDefault="00EA6483"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r w:rsidRPr="00B3329E">
        <w:rPr>
          <w:rFonts w:ascii="Tahoma" w:hAnsi="Tahoma" w:cs="Tahoma"/>
          <w:color w:val="000000" w:themeColor="text1"/>
        </w:rPr>
        <w:t>The following t-tests have been performed:</w:t>
      </w:r>
    </w:p>
    <w:p w:rsidR="00476A1B" w:rsidRPr="00B3329E" w:rsidRDefault="00476A1B" w:rsidP="00EA6483">
      <w:pPr>
        <w:spacing w:after="0"/>
        <w:rPr>
          <w:rFonts w:ascii="Tahoma" w:hAnsi="Tahoma" w:cs="Tahoma"/>
          <w:b/>
          <w:color w:val="000000" w:themeColor="text1"/>
        </w:rPr>
      </w:pPr>
    </w:p>
    <w:p w:rsidR="00490BC9" w:rsidRPr="00490BC9" w:rsidRDefault="00490BC9" w:rsidP="00490BC9">
      <w:pPr>
        <w:pStyle w:val="a3"/>
        <w:numPr>
          <w:ilvl w:val="0"/>
          <w:numId w:val="12"/>
        </w:numPr>
        <w:spacing w:after="0"/>
        <w:rPr>
          <w:rFonts w:ascii="Tahoma" w:hAnsi="Tahoma" w:cs="Tahoma"/>
          <w:color w:val="000000" w:themeColor="text1"/>
        </w:rPr>
      </w:pPr>
      <w:r w:rsidRPr="00490BC9">
        <w:rPr>
          <w:rFonts w:ascii="Tahoma" w:hAnsi="Tahoma" w:cs="Tahoma"/>
          <w:color w:val="000000" w:themeColor="text1"/>
        </w:rPr>
        <w:t>Test 1. infrastructure stocks ≠ active funds</w:t>
      </w:r>
    </w:p>
    <w:p w:rsidR="00490BC9" w:rsidRPr="00490BC9" w:rsidRDefault="00490BC9" w:rsidP="00490BC9">
      <w:pPr>
        <w:pStyle w:val="a3"/>
        <w:numPr>
          <w:ilvl w:val="0"/>
          <w:numId w:val="12"/>
        </w:numPr>
        <w:spacing w:after="0"/>
        <w:rPr>
          <w:rFonts w:ascii="Tahoma" w:hAnsi="Tahoma" w:cs="Tahoma"/>
          <w:color w:val="000000" w:themeColor="text1"/>
        </w:rPr>
      </w:pPr>
      <w:r w:rsidRPr="00490BC9">
        <w:rPr>
          <w:rFonts w:ascii="Tahoma" w:hAnsi="Tahoma" w:cs="Tahoma"/>
          <w:color w:val="000000" w:themeColor="text1"/>
        </w:rPr>
        <w:t>Test 2. infrastructure stocks ≠ indices (global)</w:t>
      </w:r>
    </w:p>
    <w:p w:rsidR="00490BC9" w:rsidRPr="00490BC9" w:rsidRDefault="00490BC9" w:rsidP="00490BC9">
      <w:pPr>
        <w:pStyle w:val="a3"/>
        <w:numPr>
          <w:ilvl w:val="0"/>
          <w:numId w:val="12"/>
        </w:numPr>
        <w:spacing w:after="0"/>
        <w:rPr>
          <w:rFonts w:ascii="Tahoma" w:hAnsi="Tahoma" w:cs="Tahoma"/>
          <w:color w:val="000000" w:themeColor="text1"/>
        </w:rPr>
      </w:pPr>
      <w:r w:rsidRPr="00490BC9">
        <w:rPr>
          <w:rFonts w:ascii="Tahoma" w:hAnsi="Tahoma" w:cs="Tahoma"/>
          <w:color w:val="000000" w:themeColor="text1"/>
        </w:rPr>
        <w:t>Test 3. active funds ≠ indices (global)</w:t>
      </w:r>
    </w:p>
    <w:p w:rsidR="00EE5106" w:rsidRPr="00490BC9" w:rsidRDefault="00490BC9" w:rsidP="00490BC9">
      <w:pPr>
        <w:pStyle w:val="a3"/>
        <w:numPr>
          <w:ilvl w:val="0"/>
          <w:numId w:val="12"/>
        </w:numPr>
        <w:spacing w:after="0"/>
        <w:rPr>
          <w:rFonts w:ascii="Tahoma" w:hAnsi="Tahoma" w:cs="Tahoma"/>
          <w:color w:val="000000" w:themeColor="text1"/>
        </w:rPr>
      </w:pPr>
      <w:r w:rsidRPr="00490BC9">
        <w:rPr>
          <w:rFonts w:ascii="Tahoma" w:hAnsi="Tahoma" w:cs="Tahoma"/>
          <w:color w:val="000000" w:themeColor="text1"/>
        </w:rPr>
        <w:t>Test 4. infrastructure stocks (in MSCI World) ≠ infrastructure stocks (not in MSCI World)</w:t>
      </w:r>
    </w:p>
    <w:p w:rsidR="00EA6483" w:rsidRPr="00B3329E" w:rsidRDefault="00EA6483" w:rsidP="00EA6483">
      <w:pPr>
        <w:spacing w:after="0"/>
        <w:rPr>
          <w:rFonts w:ascii="Tahoma" w:hAnsi="Tahoma" w:cs="Tahoma"/>
          <w:b/>
          <w:color w:val="000000" w:themeColor="text1"/>
        </w:rPr>
      </w:pPr>
    </w:p>
    <w:p w:rsidR="000974F4" w:rsidRDefault="000974F4">
      <w:pPr>
        <w:rPr>
          <w:rFonts w:ascii="Tahoma" w:eastAsiaTheme="majorEastAsia" w:hAnsi="Tahoma" w:cs="Tahoma"/>
          <w:b/>
          <w:color w:val="000000" w:themeColor="text1"/>
          <w:sz w:val="28"/>
          <w:szCs w:val="36"/>
        </w:rPr>
      </w:pPr>
      <w:bookmarkStart w:id="17" w:name="_Toc523311348"/>
      <w:r>
        <w:rPr>
          <w:rFonts w:cs="Tahoma"/>
          <w:color w:val="000000" w:themeColor="text1"/>
        </w:rPr>
        <w:lastRenderedPageBreak/>
        <w:br w:type="page"/>
      </w:r>
    </w:p>
    <w:p w:rsidR="003310CA" w:rsidRPr="00B3329E" w:rsidRDefault="004B4C33" w:rsidP="00A426E5">
      <w:pPr>
        <w:pStyle w:val="1"/>
        <w:rPr>
          <w:rFonts w:cs="Tahoma"/>
          <w:color w:val="000000" w:themeColor="text1"/>
        </w:rPr>
      </w:pPr>
      <w:r w:rsidRPr="00B3329E">
        <w:rPr>
          <w:rFonts w:cs="Tahoma"/>
          <w:color w:val="000000" w:themeColor="text1"/>
        </w:rPr>
        <w:lastRenderedPageBreak/>
        <w:t>4</w:t>
      </w:r>
      <w:r w:rsidR="00F34DF6" w:rsidRPr="00B3329E">
        <w:rPr>
          <w:rFonts w:cs="Tahoma"/>
          <w:color w:val="000000" w:themeColor="text1"/>
        </w:rPr>
        <w:t>.</w:t>
      </w:r>
      <w:r w:rsidR="00FF68FF" w:rsidRPr="00B3329E">
        <w:rPr>
          <w:rFonts w:cs="Tahoma"/>
          <w:color w:val="000000" w:themeColor="text1"/>
        </w:rPr>
        <w:t xml:space="preserve"> </w:t>
      </w:r>
      <w:r w:rsidR="003310CA" w:rsidRPr="00B3329E">
        <w:rPr>
          <w:rFonts w:cs="Tahoma"/>
          <w:color w:val="000000" w:themeColor="text1"/>
        </w:rPr>
        <w:t>Data</w:t>
      </w:r>
      <w:bookmarkEnd w:id="17"/>
      <w:r w:rsidR="003310CA" w:rsidRPr="00B3329E">
        <w:rPr>
          <w:rFonts w:cs="Tahoma"/>
          <w:color w:val="000000" w:themeColor="text1"/>
        </w:rPr>
        <w:t xml:space="preserve"> </w:t>
      </w:r>
    </w:p>
    <w:p w:rsidR="004B4C33" w:rsidRPr="00B3329E" w:rsidRDefault="004B4C33" w:rsidP="00EA6483">
      <w:pPr>
        <w:spacing w:after="0"/>
        <w:rPr>
          <w:rFonts w:ascii="Tahoma" w:hAnsi="Tahoma" w:cs="Tahoma"/>
          <w:b/>
          <w:color w:val="000000" w:themeColor="text1"/>
          <w:sz w:val="28"/>
        </w:rPr>
      </w:pPr>
    </w:p>
    <w:p w:rsidR="003310CA" w:rsidRPr="00B3329E" w:rsidRDefault="003310CA" w:rsidP="00EA6483">
      <w:pPr>
        <w:spacing w:after="0"/>
        <w:rPr>
          <w:rFonts w:ascii="Tahoma" w:hAnsi="Tahoma" w:cs="Tahoma"/>
          <w:color w:val="000000" w:themeColor="text1"/>
        </w:rPr>
      </w:pPr>
      <w:r w:rsidRPr="00B3329E">
        <w:rPr>
          <w:rFonts w:ascii="Tahoma" w:hAnsi="Tahoma" w:cs="Tahoma"/>
          <w:color w:val="000000" w:themeColor="text1"/>
        </w:rPr>
        <w:t>Th</w:t>
      </w:r>
      <w:r w:rsidR="0063698C" w:rsidRPr="00B3329E">
        <w:rPr>
          <w:rFonts w:ascii="Tahoma" w:hAnsi="Tahoma" w:cs="Tahoma"/>
          <w:color w:val="000000" w:themeColor="text1"/>
        </w:rPr>
        <w:t>is</w:t>
      </w:r>
      <w:r w:rsidRPr="00B3329E">
        <w:rPr>
          <w:rFonts w:ascii="Tahoma" w:hAnsi="Tahoma" w:cs="Tahoma"/>
          <w:color w:val="000000" w:themeColor="text1"/>
        </w:rPr>
        <w:t xml:space="preserve"> section describes the construction of the datasets that represent the different listed in</w:t>
      </w:r>
      <w:r w:rsidR="0063698C" w:rsidRPr="00B3329E">
        <w:rPr>
          <w:rFonts w:ascii="Tahoma" w:hAnsi="Tahoma" w:cs="Tahoma"/>
          <w:color w:val="000000" w:themeColor="text1"/>
        </w:rPr>
        <w:t xml:space="preserve">frastructure investment types. </w:t>
      </w:r>
      <w:r w:rsidR="00310B98" w:rsidRPr="00B3329E">
        <w:rPr>
          <w:rFonts w:ascii="Tahoma" w:hAnsi="Tahoma" w:cs="Tahoma"/>
          <w:color w:val="000000" w:themeColor="text1"/>
        </w:rPr>
        <w:t xml:space="preserve">Section </w:t>
      </w:r>
      <w:r w:rsidR="006A3E42" w:rsidRPr="00B3329E">
        <w:rPr>
          <w:rFonts w:ascii="Tahoma" w:hAnsi="Tahoma" w:cs="Tahoma"/>
          <w:color w:val="000000" w:themeColor="text1"/>
        </w:rPr>
        <w:t>4</w:t>
      </w:r>
      <w:r w:rsidR="00310B98" w:rsidRPr="00B3329E">
        <w:rPr>
          <w:rFonts w:ascii="Tahoma" w:hAnsi="Tahoma" w:cs="Tahoma"/>
          <w:color w:val="000000" w:themeColor="text1"/>
        </w:rPr>
        <w:t xml:space="preserve">.1. describes the reference index that is used to represent for global equities. </w:t>
      </w:r>
      <w:r w:rsidRPr="00B3329E">
        <w:rPr>
          <w:rFonts w:ascii="Tahoma" w:hAnsi="Tahoma" w:cs="Tahoma"/>
          <w:color w:val="000000" w:themeColor="text1"/>
        </w:rPr>
        <w:t xml:space="preserve">Stocks, active funds and indices are covered in sections </w:t>
      </w:r>
      <w:r w:rsidR="006A3E42" w:rsidRPr="00B3329E">
        <w:rPr>
          <w:rFonts w:ascii="Tahoma" w:hAnsi="Tahoma" w:cs="Tahoma"/>
          <w:color w:val="000000" w:themeColor="text1"/>
        </w:rPr>
        <w:t>4</w:t>
      </w:r>
      <w:r w:rsidR="00310B98" w:rsidRPr="00B3329E">
        <w:rPr>
          <w:rFonts w:ascii="Tahoma" w:hAnsi="Tahoma" w:cs="Tahoma"/>
          <w:color w:val="000000" w:themeColor="text1"/>
        </w:rPr>
        <w:t>.2</w:t>
      </w:r>
      <w:r w:rsidR="00F34DF6" w:rsidRPr="00B3329E">
        <w:rPr>
          <w:rFonts w:ascii="Tahoma" w:hAnsi="Tahoma" w:cs="Tahoma"/>
          <w:color w:val="000000" w:themeColor="text1"/>
        </w:rPr>
        <w:t>.</w:t>
      </w:r>
      <w:r w:rsidRPr="00B3329E">
        <w:rPr>
          <w:rFonts w:ascii="Tahoma" w:hAnsi="Tahoma" w:cs="Tahoma"/>
          <w:color w:val="000000" w:themeColor="text1"/>
        </w:rPr>
        <w:t xml:space="preserve">, </w:t>
      </w:r>
      <w:r w:rsidR="006A3E42" w:rsidRPr="00B3329E">
        <w:rPr>
          <w:rFonts w:ascii="Tahoma" w:hAnsi="Tahoma" w:cs="Tahoma"/>
          <w:color w:val="000000" w:themeColor="text1"/>
        </w:rPr>
        <w:t>4</w:t>
      </w:r>
      <w:r w:rsidR="00F34DF6" w:rsidRPr="00B3329E">
        <w:rPr>
          <w:rFonts w:ascii="Tahoma" w:hAnsi="Tahoma" w:cs="Tahoma"/>
          <w:color w:val="000000" w:themeColor="text1"/>
        </w:rPr>
        <w:t>.</w:t>
      </w:r>
      <w:r w:rsidR="00310B98" w:rsidRPr="00B3329E">
        <w:rPr>
          <w:rFonts w:ascii="Tahoma" w:hAnsi="Tahoma" w:cs="Tahoma"/>
          <w:color w:val="000000" w:themeColor="text1"/>
        </w:rPr>
        <w:t>3</w:t>
      </w:r>
      <w:r w:rsidR="00F34DF6" w:rsidRPr="00B3329E">
        <w:rPr>
          <w:rFonts w:ascii="Tahoma" w:hAnsi="Tahoma" w:cs="Tahoma"/>
          <w:color w:val="000000" w:themeColor="text1"/>
        </w:rPr>
        <w:t>.</w:t>
      </w:r>
      <w:r w:rsidRPr="00B3329E">
        <w:rPr>
          <w:rFonts w:ascii="Tahoma" w:hAnsi="Tahoma" w:cs="Tahoma"/>
          <w:color w:val="000000" w:themeColor="text1"/>
        </w:rPr>
        <w:t xml:space="preserve"> and </w:t>
      </w:r>
      <w:r w:rsidR="006A3E42" w:rsidRPr="00B3329E">
        <w:rPr>
          <w:rFonts w:ascii="Tahoma" w:hAnsi="Tahoma" w:cs="Tahoma"/>
          <w:color w:val="000000" w:themeColor="text1"/>
        </w:rPr>
        <w:t>4</w:t>
      </w:r>
      <w:r w:rsidR="00F34DF6" w:rsidRPr="00B3329E">
        <w:rPr>
          <w:rFonts w:ascii="Tahoma" w:hAnsi="Tahoma" w:cs="Tahoma"/>
          <w:color w:val="000000" w:themeColor="text1"/>
        </w:rPr>
        <w:t>.</w:t>
      </w:r>
      <w:r w:rsidR="00310B98" w:rsidRPr="00B3329E">
        <w:rPr>
          <w:rFonts w:ascii="Tahoma" w:hAnsi="Tahoma" w:cs="Tahoma"/>
          <w:color w:val="000000" w:themeColor="text1"/>
        </w:rPr>
        <w:t>4</w:t>
      </w:r>
      <w:r w:rsidR="00F34DF6" w:rsidRPr="00B3329E">
        <w:rPr>
          <w:rFonts w:ascii="Tahoma" w:hAnsi="Tahoma" w:cs="Tahoma"/>
          <w:color w:val="000000" w:themeColor="text1"/>
        </w:rPr>
        <w:t>.</w:t>
      </w:r>
      <w:r w:rsidRPr="00B3329E">
        <w:rPr>
          <w:rFonts w:ascii="Tahoma" w:hAnsi="Tahoma" w:cs="Tahoma"/>
          <w:color w:val="000000" w:themeColor="text1"/>
        </w:rPr>
        <w:t xml:space="preserve">, respectively.  </w:t>
      </w:r>
    </w:p>
    <w:p w:rsidR="004B4C33" w:rsidRPr="00B3329E" w:rsidRDefault="004B4C33"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310B98" w:rsidRPr="00B3329E" w:rsidRDefault="004B4C33" w:rsidP="00A426E5">
      <w:pPr>
        <w:pStyle w:val="2"/>
        <w:rPr>
          <w:rFonts w:cs="Tahoma"/>
          <w:color w:val="000000" w:themeColor="text1"/>
        </w:rPr>
      </w:pPr>
      <w:bookmarkStart w:id="18" w:name="_Toc523311349"/>
      <w:r w:rsidRPr="00B3329E">
        <w:rPr>
          <w:rFonts w:cs="Tahoma"/>
          <w:color w:val="000000" w:themeColor="text1"/>
        </w:rPr>
        <w:t>4</w:t>
      </w:r>
      <w:r w:rsidR="00310B98" w:rsidRPr="00B3329E">
        <w:rPr>
          <w:rFonts w:cs="Tahoma"/>
          <w:color w:val="000000" w:themeColor="text1"/>
        </w:rPr>
        <w:t>.1. Reference index</w:t>
      </w:r>
      <w:bookmarkEnd w:id="18"/>
    </w:p>
    <w:p w:rsidR="00A426E5" w:rsidRPr="00B3329E" w:rsidRDefault="00A426E5" w:rsidP="00EA6483">
      <w:pPr>
        <w:spacing w:after="0"/>
        <w:rPr>
          <w:rFonts w:ascii="Tahoma" w:hAnsi="Tahoma" w:cs="Tahoma"/>
          <w:color w:val="000000" w:themeColor="text1"/>
        </w:rPr>
      </w:pPr>
    </w:p>
    <w:p w:rsidR="00310B98" w:rsidRPr="00B3329E" w:rsidRDefault="00D00D9C" w:rsidP="00EA6483">
      <w:pPr>
        <w:spacing w:after="0"/>
        <w:rPr>
          <w:rFonts w:ascii="Tahoma" w:hAnsi="Tahoma" w:cs="Tahoma"/>
          <w:color w:val="000000" w:themeColor="text1"/>
        </w:rPr>
      </w:pPr>
      <w:r w:rsidRPr="00B3329E">
        <w:rPr>
          <w:rFonts w:ascii="Tahoma" w:hAnsi="Tahoma" w:cs="Tahoma"/>
          <w:color w:val="000000" w:themeColor="text1"/>
        </w:rPr>
        <w:t>T</w:t>
      </w:r>
      <w:r w:rsidR="00310B98" w:rsidRPr="00B3329E">
        <w:rPr>
          <w:rFonts w:ascii="Tahoma" w:hAnsi="Tahoma" w:cs="Tahoma"/>
          <w:color w:val="000000" w:themeColor="text1"/>
        </w:rPr>
        <w:t>he correlation has been calculated relative to global equities, using the MSCI World Total Return (MSCI World) as a representative index.</w:t>
      </w:r>
      <w:r w:rsidR="005F2BBA">
        <w:rPr>
          <w:rFonts w:ascii="Tahoma" w:hAnsi="Tahoma" w:cs="Tahoma"/>
          <w:color w:val="000000" w:themeColor="text1"/>
        </w:rPr>
        <w:t xml:space="preserve">, which </w:t>
      </w:r>
      <w:r w:rsidR="00310B98" w:rsidRPr="00B3329E">
        <w:rPr>
          <w:rFonts w:ascii="Tahoma" w:hAnsi="Tahoma" w:cs="Tahoma"/>
          <w:color w:val="000000" w:themeColor="text1"/>
        </w:rPr>
        <w:t>is the most widely referenced global equity index as evidenced by 27% of the 5</w:t>
      </w:r>
      <w:r w:rsidRPr="00B3329E">
        <w:rPr>
          <w:rFonts w:ascii="Tahoma" w:hAnsi="Tahoma" w:cs="Tahoma"/>
          <w:color w:val="000000" w:themeColor="text1"/>
        </w:rPr>
        <w:t>,</w:t>
      </w:r>
      <w:r w:rsidR="00310B98" w:rsidRPr="00B3329E">
        <w:rPr>
          <w:rFonts w:ascii="Tahoma" w:hAnsi="Tahoma" w:cs="Tahoma"/>
          <w:color w:val="000000" w:themeColor="text1"/>
        </w:rPr>
        <w:t xml:space="preserve">355 active global equity funds using it as </w:t>
      </w:r>
      <w:r w:rsidRPr="00B3329E">
        <w:rPr>
          <w:rFonts w:ascii="Tahoma" w:hAnsi="Tahoma" w:cs="Tahoma"/>
          <w:color w:val="000000" w:themeColor="text1"/>
        </w:rPr>
        <w:t>a</w:t>
      </w:r>
      <w:r w:rsidR="00310B98" w:rsidRPr="00B3329E">
        <w:rPr>
          <w:rFonts w:ascii="Tahoma" w:hAnsi="Tahoma" w:cs="Tahoma"/>
          <w:color w:val="000000" w:themeColor="text1"/>
        </w:rPr>
        <w:t xml:space="preserve"> benchmark. (Morningstar, 2018).</w:t>
      </w:r>
    </w:p>
    <w:p w:rsidR="00691BFF" w:rsidRPr="00B3329E" w:rsidRDefault="00691BFF" w:rsidP="00EA6483">
      <w:pPr>
        <w:spacing w:after="0"/>
        <w:rPr>
          <w:rFonts w:ascii="Tahoma" w:hAnsi="Tahoma" w:cs="Tahoma"/>
          <w:color w:val="000000" w:themeColor="text1"/>
        </w:rPr>
      </w:pPr>
    </w:p>
    <w:p w:rsidR="00310B98" w:rsidRPr="00B3329E" w:rsidRDefault="00310B98" w:rsidP="00EA6483">
      <w:pPr>
        <w:spacing w:after="0"/>
        <w:rPr>
          <w:rFonts w:ascii="Tahoma" w:hAnsi="Tahoma" w:cs="Tahoma"/>
          <w:color w:val="000000" w:themeColor="text1"/>
        </w:rPr>
      </w:pPr>
      <w:r w:rsidRPr="00B3329E">
        <w:rPr>
          <w:rFonts w:ascii="Tahoma" w:hAnsi="Tahoma" w:cs="Tahoma"/>
          <w:color w:val="000000" w:themeColor="text1"/>
        </w:rPr>
        <w:t xml:space="preserve">The MSCI </w:t>
      </w:r>
      <w:r w:rsidR="00691BFF" w:rsidRPr="00B3329E">
        <w:rPr>
          <w:rFonts w:ascii="Tahoma" w:hAnsi="Tahoma" w:cs="Tahoma"/>
          <w:color w:val="000000" w:themeColor="text1"/>
        </w:rPr>
        <w:t xml:space="preserve">World is exposed to </w:t>
      </w:r>
      <w:r w:rsidRPr="00B3329E">
        <w:rPr>
          <w:rFonts w:ascii="Tahoma" w:hAnsi="Tahoma" w:cs="Tahoma"/>
          <w:color w:val="000000" w:themeColor="text1"/>
        </w:rPr>
        <w:t xml:space="preserve">stocks from all sectors and industries infrastructure </w:t>
      </w:r>
      <w:r w:rsidR="00691BFF" w:rsidRPr="00B3329E">
        <w:rPr>
          <w:rFonts w:ascii="Tahoma" w:hAnsi="Tahoma" w:cs="Tahoma"/>
          <w:color w:val="000000" w:themeColor="text1"/>
        </w:rPr>
        <w:t>so there is an overlap with the infrastructure stocks in this study.</w:t>
      </w:r>
      <w:r w:rsidRPr="00B3329E">
        <w:rPr>
          <w:rFonts w:ascii="Tahoma" w:hAnsi="Tahoma" w:cs="Tahoma"/>
          <w:color w:val="000000" w:themeColor="text1"/>
        </w:rPr>
        <w:t xml:space="preserve">  45 o</w:t>
      </w:r>
      <w:r w:rsidR="00691BFF" w:rsidRPr="00B3329E">
        <w:rPr>
          <w:rFonts w:ascii="Tahoma" w:hAnsi="Tahoma" w:cs="Tahoma"/>
          <w:color w:val="000000" w:themeColor="text1"/>
        </w:rPr>
        <w:t xml:space="preserve">f the MSCI World’s constituents, </w:t>
      </w:r>
      <w:r w:rsidRPr="00B3329E">
        <w:rPr>
          <w:rFonts w:ascii="Tahoma" w:hAnsi="Tahoma" w:cs="Tahoma"/>
          <w:color w:val="000000" w:themeColor="text1"/>
        </w:rPr>
        <w:t xml:space="preserve">representing 2.6% of index weight, are also present in the S&amp;P Global Infrastructure index.  </w:t>
      </w:r>
      <w:r w:rsidR="005C2873">
        <w:rPr>
          <w:rFonts w:ascii="Tahoma" w:hAnsi="Tahoma" w:cs="Tahoma"/>
          <w:color w:val="000000" w:themeColor="text1"/>
        </w:rPr>
        <w:t>The</w:t>
      </w:r>
      <w:r w:rsidRPr="00B3329E">
        <w:rPr>
          <w:rFonts w:ascii="Tahoma" w:hAnsi="Tahoma" w:cs="Tahoma"/>
          <w:color w:val="000000" w:themeColor="text1"/>
        </w:rPr>
        <w:t xml:space="preserve"> seemingly logical step </w:t>
      </w:r>
      <w:r w:rsidR="005C2873">
        <w:rPr>
          <w:rFonts w:ascii="Tahoma" w:hAnsi="Tahoma" w:cs="Tahoma"/>
          <w:color w:val="000000" w:themeColor="text1"/>
        </w:rPr>
        <w:t xml:space="preserve">of excluding these stocks from the MSCI World </w:t>
      </w:r>
      <w:r w:rsidRPr="00B3329E">
        <w:rPr>
          <w:rFonts w:ascii="Tahoma" w:hAnsi="Tahoma" w:cs="Tahoma"/>
          <w:color w:val="000000" w:themeColor="text1"/>
        </w:rPr>
        <w:t>makes the unrealistic assumption that investors allocate to global equity strategies that explicitly exclude infrastructure stocks</w:t>
      </w:r>
      <w:r w:rsidR="005C2873">
        <w:rPr>
          <w:rFonts w:ascii="Tahoma" w:hAnsi="Tahoma" w:cs="Tahoma"/>
          <w:color w:val="000000" w:themeColor="text1"/>
        </w:rPr>
        <w:t xml:space="preserve">, which has the </w:t>
      </w:r>
      <w:r w:rsidRPr="00B3329E">
        <w:rPr>
          <w:rFonts w:ascii="Tahoma" w:hAnsi="Tahoma" w:cs="Tahoma"/>
          <w:color w:val="000000" w:themeColor="text1"/>
        </w:rPr>
        <w:t>consequence of over-stat</w:t>
      </w:r>
      <w:r w:rsidR="005C2873">
        <w:rPr>
          <w:rFonts w:ascii="Tahoma" w:hAnsi="Tahoma" w:cs="Tahoma"/>
          <w:color w:val="000000" w:themeColor="text1"/>
        </w:rPr>
        <w:t>ing</w:t>
      </w:r>
      <w:r w:rsidRPr="00B3329E">
        <w:rPr>
          <w:rFonts w:ascii="Tahoma" w:hAnsi="Tahoma" w:cs="Tahoma"/>
          <w:color w:val="000000" w:themeColor="text1"/>
        </w:rPr>
        <w:t xml:space="preserve"> the diversification benefits relative to what an investor </w:t>
      </w:r>
      <w:r w:rsidR="005C2873">
        <w:rPr>
          <w:rFonts w:ascii="Tahoma" w:hAnsi="Tahoma" w:cs="Tahoma"/>
          <w:color w:val="000000" w:themeColor="text1"/>
        </w:rPr>
        <w:t xml:space="preserve">would </w:t>
      </w:r>
      <w:r w:rsidR="00691BFF" w:rsidRPr="00B3329E">
        <w:rPr>
          <w:rFonts w:ascii="Tahoma" w:hAnsi="Tahoma" w:cs="Tahoma"/>
          <w:color w:val="000000" w:themeColor="text1"/>
        </w:rPr>
        <w:t>actually</w:t>
      </w:r>
      <w:r w:rsidRPr="00B3329E">
        <w:rPr>
          <w:rFonts w:ascii="Tahoma" w:hAnsi="Tahoma" w:cs="Tahoma"/>
          <w:color w:val="000000" w:themeColor="text1"/>
        </w:rPr>
        <w:t xml:space="preserve"> experience.  This study has not removed the infrastructu</w:t>
      </w:r>
      <w:r w:rsidR="00691BFF" w:rsidRPr="00B3329E">
        <w:rPr>
          <w:rFonts w:ascii="Tahoma" w:hAnsi="Tahoma" w:cs="Tahoma"/>
          <w:color w:val="000000" w:themeColor="text1"/>
        </w:rPr>
        <w:t>re stocks from the MSCI World in order</w:t>
      </w:r>
      <w:r w:rsidRPr="00B3329E">
        <w:rPr>
          <w:rFonts w:ascii="Tahoma" w:hAnsi="Tahoma" w:cs="Tahoma"/>
          <w:color w:val="000000" w:themeColor="text1"/>
        </w:rPr>
        <w:t xml:space="preserve"> </w:t>
      </w:r>
      <w:r w:rsidR="00691BFF" w:rsidRPr="00B3329E">
        <w:rPr>
          <w:rFonts w:ascii="Tahoma" w:hAnsi="Tahoma" w:cs="Tahoma"/>
          <w:color w:val="000000" w:themeColor="text1"/>
        </w:rPr>
        <w:t xml:space="preserve">to accurately reflect investors’ global equity exposure and </w:t>
      </w:r>
      <w:r w:rsidRPr="00B3329E">
        <w:rPr>
          <w:rFonts w:ascii="Tahoma" w:hAnsi="Tahoma" w:cs="Tahoma"/>
          <w:color w:val="000000" w:themeColor="text1"/>
        </w:rPr>
        <w:t>ensure consistency with the approach taken in most other studies</w:t>
      </w:r>
      <w:r w:rsidR="00691BFF" w:rsidRPr="00B3329E">
        <w:rPr>
          <w:rFonts w:ascii="Tahoma" w:hAnsi="Tahoma" w:cs="Tahoma"/>
          <w:color w:val="000000" w:themeColor="text1"/>
        </w:rPr>
        <w:t>.</w:t>
      </w:r>
      <w:r w:rsidRPr="00B3329E">
        <w:rPr>
          <w:rFonts w:ascii="Tahoma" w:hAnsi="Tahoma" w:cs="Tahoma"/>
          <w:color w:val="000000" w:themeColor="text1"/>
        </w:rPr>
        <w:t xml:space="preserve"> </w:t>
      </w:r>
    </w:p>
    <w:p w:rsidR="00F34DF6" w:rsidRPr="00B3329E" w:rsidRDefault="00F34DF6" w:rsidP="00EA6483">
      <w:pPr>
        <w:spacing w:after="0"/>
        <w:rPr>
          <w:rFonts w:ascii="Tahoma" w:hAnsi="Tahoma" w:cs="Tahoma"/>
          <w:b/>
          <w:color w:val="000000" w:themeColor="text1"/>
        </w:rPr>
      </w:pPr>
    </w:p>
    <w:p w:rsidR="006F2671" w:rsidRPr="00B3329E" w:rsidRDefault="006F2671" w:rsidP="00A426E5">
      <w:pPr>
        <w:pStyle w:val="2"/>
        <w:rPr>
          <w:rFonts w:cs="Tahoma"/>
          <w:color w:val="000000" w:themeColor="text1"/>
        </w:rPr>
      </w:pPr>
    </w:p>
    <w:p w:rsidR="00A72561" w:rsidRPr="00B3329E" w:rsidRDefault="006A3E42" w:rsidP="00A426E5">
      <w:pPr>
        <w:pStyle w:val="2"/>
        <w:rPr>
          <w:rFonts w:cs="Tahoma"/>
          <w:color w:val="000000" w:themeColor="text1"/>
        </w:rPr>
      </w:pPr>
      <w:bookmarkStart w:id="19" w:name="_Toc523311350"/>
      <w:r w:rsidRPr="00B3329E">
        <w:rPr>
          <w:rFonts w:cs="Tahoma"/>
          <w:color w:val="000000" w:themeColor="text1"/>
        </w:rPr>
        <w:t>4</w:t>
      </w:r>
      <w:r w:rsidR="00FF68FF" w:rsidRPr="00B3329E">
        <w:rPr>
          <w:rFonts w:cs="Tahoma"/>
          <w:color w:val="000000" w:themeColor="text1"/>
        </w:rPr>
        <w:t>.</w:t>
      </w:r>
      <w:r w:rsidR="006742F1" w:rsidRPr="00B3329E">
        <w:rPr>
          <w:rFonts w:cs="Tahoma"/>
          <w:color w:val="000000" w:themeColor="text1"/>
        </w:rPr>
        <w:t>2</w:t>
      </w:r>
      <w:r w:rsidR="00FF68FF" w:rsidRPr="00B3329E">
        <w:rPr>
          <w:rFonts w:cs="Tahoma"/>
          <w:color w:val="000000" w:themeColor="text1"/>
        </w:rPr>
        <w:t xml:space="preserve">. </w:t>
      </w:r>
      <w:r w:rsidR="00A72561" w:rsidRPr="00B3329E">
        <w:rPr>
          <w:rFonts w:cs="Tahoma"/>
          <w:color w:val="000000" w:themeColor="text1"/>
        </w:rPr>
        <w:t>Infra</w:t>
      </w:r>
      <w:r w:rsidR="00C31883" w:rsidRPr="00B3329E">
        <w:rPr>
          <w:rFonts w:cs="Tahoma"/>
          <w:color w:val="000000" w:themeColor="text1"/>
        </w:rPr>
        <w:t>structure</w:t>
      </w:r>
      <w:r w:rsidR="00A72561" w:rsidRPr="00B3329E">
        <w:rPr>
          <w:rFonts w:cs="Tahoma"/>
          <w:color w:val="000000" w:themeColor="text1"/>
        </w:rPr>
        <w:t xml:space="preserve"> stocks dataset</w:t>
      </w:r>
      <w:bookmarkEnd w:id="19"/>
    </w:p>
    <w:p w:rsidR="00EA6483" w:rsidRPr="00B3329E" w:rsidRDefault="00EA6483"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A72561" w:rsidRPr="00B3329E" w:rsidRDefault="00A72561" w:rsidP="00EA6483">
      <w:pPr>
        <w:spacing w:after="0"/>
        <w:rPr>
          <w:rFonts w:ascii="Tahoma" w:hAnsi="Tahoma" w:cs="Tahoma"/>
          <w:color w:val="000000" w:themeColor="text1"/>
        </w:rPr>
      </w:pPr>
      <w:r w:rsidRPr="00B3329E">
        <w:rPr>
          <w:rFonts w:ascii="Tahoma" w:hAnsi="Tahoma" w:cs="Tahoma"/>
          <w:color w:val="000000" w:themeColor="text1"/>
        </w:rPr>
        <w:t xml:space="preserve">The approach of this study is to </w:t>
      </w:r>
      <w:r w:rsidR="001F7C55" w:rsidRPr="00B3329E">
        <w:rPr>
          <w:rFonts w:ascii="Tahoma" w:hAnsi="Tahoma" w:cs="Tahoma"/>
          <w:color w:val="000000" w:themeColor="text1"/>
        </w:rPr>
        <w:t xml:space="preserve">leverage the stock selection processes of the index providers to </w:t>
      </w:r>
      <w:r w:rsidRPr="00B3329E">
        <w:rPr>
          <w:rFonts w:ascii="Tahoma" w:hAnsi="Tahoma" w:cs="Tahoma"/>
          <w:color w:val="000000" w:themeColor="text1"/>
        </w:rPr>
        <w:t xml:space="preserve">create a dataset from the stocks that </w:t>
      </w:r>
      <w:r w:rsidR="00F34DF6" w:rsidRPr="00B3329E">
        <w:rPr>
          <w:rFonts w:ascii="Tahoma" w:hAnsi="Tahoma" w:cs="Tahoma"/>
          <w:color w:val="000000" w:themeColor="text1"/>
        </w:rPr>
        <w:t xml:space="preserve">are constituents of </w:t>
      </w:r>
      <w:r w:rsidRPr="00B3329E">
        <w:rPr>
          <w:rFonts w:ascii="Tahoma" w:hAnsi="Tahoma" w:cs="Tahoma"/>
          <w:color w:val="000000" w:themeColor="text1"/>
        </w:rPr>
        <w:t xml:space="preserve">the infrastructure indices.  This </w:t>
      </w:r>
      <w:r w:rsidR="001F7C55" w:rsidRPr="00B3329E">
        <w:rPr>
          <w:rFonts w:ascii="Tahoma" w:hAnsi="Tahoma" w:cs="Tahoma"/>
          <w:color w:val="000000" w:themeColor="text1"/>
        </w:rPr>
        <w:t xml:space="preserve">should lead to a more accurate infrastructure stocks sample as they </w:t>
      </w:r>
      <w:r w:rsidRPr="00B3329E">
        <w:rPr>
          <w:rFonts w:ascii="Tahoma" w:hAnsi="Tahoma" w:cs="Tahoma"/>
          <w:color w:val="000000" w:themeColor="text1"/>
        </w:rPr>
        <w:t xml:space="preserve">are motivated </w:t>
      </w:r>
      <w:r w:rsidR="001F7C55" w:rsidRPr="00B3329E">
        <w:rPr>
          <w:rFonts w:ascii="Tahoma" w:hAnsi="Tahoma" w:cs="Tahoma"/>
          <w:color w:val="000000" w:themeColor="text1"/>
        </w:rPr>
        <w:t xml:space="preserve">to </w:t>
      </w:r>
      <w:r w:rsidRPr="00B3329E">
        <w:rPr>
          <w:rFonts w:ascii="Tahoma" w:hAnsi="Tahoma" w:cs="Tahoma"/>
          <w:color w:val="000000" w:themeColor="text1"/>
        </w:rPr>
        <w:t>provid</w:t>
      </w:r>
      <w:r w:rsidR="001F7C55" w:rsidRPr="00B3329E">
        <w:rPr>
          <w:rFonts w:ascii="Tahoma" w:hAnsi="Tahoma" w:cs="Tahoma"/>
          <w:color w:val="000000" w:themeColor="text1"/>
        </w:rPr>
        <w:t>e</w:t>
      </w:r>
      <w:r w:rsidRPr="00B3329E">
        <w:rPr>
          <w:rFonts w:ascii="Tahoma" w:hAnsi="Tahoma" w:cs="Tahoma"/>
          <w:color w:val="000000" w:themeColor="text1"/>
        </w:rPr>
        <w:t xml:space="preserve"> effective and precise exposure to the asset class </w:t>
      </w:r>
      <w:r w:rsidR="001F7C55" w:rsidRPr="00B3329E">
        <w:rPr>
          <w:rFonts w:ascii="Tahoma" w:hAnsi="Tahoma" w:cs="Tahoma"/>
          <w:color w:val="000000" w:themeColor="text1"/>
        </w:rPr>
        <w:t xml:space="preserve">in order </w:t>
      </w:r>
      <w:r w:rsidRPr="00B3329E">
        <w:rPr>
          <w:rFonts w:ascii="Tahoma" w:hAnsi="Tahoma" w:cs="Tahoma"/>
          <w:color w:val="000000" w:themeColor="text1"/>
        </w:rPr>
        <w:t xml:space="preserve">to encourage infrastructure active funds and </w:t>
      </w:r>
      <w:r w:rsidR="00977C3F" w:rsidRPr="00B3329E">
        <w:rPr>
          <w:rFonts w:ascii="Tahoma" w:hAnsi="Tahoma" w:cs="Tahoma"/>
          <w:color w:val="000000" w:themeColor="text1"/>
        </w:rPr>
        <w:t>exchange traded funds (ETFs)</w:t>
      </w:r>
      <w:r w:rsidRPr="00B3329E">
        <w:rPr>
          <w:rFonts w:ascii="Tahoma" w:hAnsi="Tahoma" w:cs="Tahoma"/>
          <w:color w:val="000000" w:themeColor="text1"/>
        </w:rPr>
        <w:t xml:space="preserve"> to choose them as their reference benchmark. </w:t>
      </w:r>
    </w:p>
    <w:p w:rsidR="00EA6483" w:rsidRPr="00B3329E" w:rsidRDefault="00EA6483" w:rsidP="00EA6483">
      <w:pPr>
        <w:spacing w:after="0"/>
        <w:rPr>
          <w:rFonts w:ascii="Tahoma" w:hAnsi="Tahoma" w:cs="Tahoma"/>
          <w:color w:val="000000" w:themeColor="text1"/>
        </w:rPr>
      </w:pPr>
    </w:p>
    <w:p w:rsidR="00A72561" w:rsidRPr="00B3329E" w:rsidRDefault="00535D3C" w:rsidP="00EA6483">
      <w:pPr>
        <w:spacing w:after="0"/>
        <w:rPr>
          <w:rFonts w:ascii="Tahoma" w:hAnsi="Tahoma" w:cs="Tahoma"/>
          <w:color w:val="000000" w:themeColor="text1"/>
        </w:rPr>
      </w:pPr>
      <w:r w:rsidRPr="00B3329E">
        <w:rPr>
          <w:rFonts w:ascii="Tahoma" w:hAnsi="Tahoma" w:cs="Tahoma"/>
          <w:color w:val="000000" w:themeColor="text1"/>
        </w:rPr>
        <w:t>The implementation of this approach required the obtaining the constituent data for the listed infrastructure indices us</w:t>
      </w:r>
      <w:r w:rsidR="00D95816" w:rsidRPr="00B3329E">
        <w:rPr>
          <w:rFonts w:ascii="Tahoma" w:hAnsi="Tahoma" w:cs="Tahoma"/>
          <w:color w:val="000000" w:themeColor="text1"/>
        </w:rPr>
        <w:t>ing Mornings</w:t>
      </w:r>
      <w:r w:rsidRPr="00B3329E">
        <w:rPr>
          <w:rFonts w:ascii="Tahoma" w:hAnsi="Tahoma" w:cs="Tahoma"/>
          <w:color w:val="000000" w:themeColor="text1"/>
        </w:rPr>
        <w:t>tar Direct.</w:t>
      </w:r>
      <w:r w:rsidR="00FC326C" w:rsidRPr="00B3329E">
        <w:rPr>
          <w:rFonts w:ascii="Tahoma" w:hAnsi="Tahoma" w:cs="Tahoma"/>
          <w:color w:val="000000" w:themeColor="text1"/>
        </w:rPr>
        <w:t xml:space="preserve"> Duplicate listings were removed as were non-primary share listings. </w:t>
      </w:r>
      <w:r w:rsidR="009A4F02" w:rsidRPr="00B3329E">
        <w:rPr>
          <w:rFonts w:ascii="Tahoma" w:hAnsi="Tahoma" w:cs="Tahoma"/>
          <w:color w:val="000000" w:themeColor="text1"/>
        </w:rPr>
        <w:t>T</w:t>
      </w:r>
      <w:r w:rsidR="00FC326C" w:rsidRPr="00B3329E">
        <w:rPr>
          <w:rFonts w:ascii="Tahoma" w:hAnsi="Tahoma" w:cs="Tahoma"/>
          <w:color w:val="000000" w:themeColor="text1"/>
        </w:rPr>
        <w:t xml:space="preserve">his </w:t>
      </w:r>
      <w:r w:rsidR="009A4F02" w:rsidRPr="00B3329E">
        <w:rPr>
          <w:rFonts w:ascii="Tahoma" w:hAnsi="Tahoma" w:cs="Tahoma"/>
          <w:color w:val="000000" w:themeColor="text1"/>
        </w:rPr>
        <w:t xml:space="preserve">filtering process returned </w:t>
      </w:r>
      <w:r w:rsidR="00FC326C" w:rsidRPr="00B3329E">
        <w:rPr>
          <w:rFonts w:ascii="Tahoma" w:hAnsi="Tahoma" w:cs="Tahoma"/>
          <w:color w:val="000000" w:themeColor="text1"/>
        </w:rPr>
        <w:t xml:space="preserve">of </w:t>
      </w:r>
      <w:r w:rsidRPr="00B3329E">
        <w:rPr>
          <w:rFonts w:ascii="Tahoma" w:hAnsi="Tahoma" w:cs="Tahoma"/>
          <w:color w:val="000000" w:themeColor="text1"/>
        </w:rPr>
        <w:t>849</w:t>
      </w:r>
      <w:r w:rsidR="00FC326C" w:rsidRPr="00B3329E">
        <w:rPr>
          <w:rFonts w:ascii="Tahoma" w:hAnsi="Tahoma" w:cs="Tahoma"/>
          <w:color w:val="000000" w:themeColor="text1"/>
        </w:rPr>
        <w:t xml:space="preserve"> stocks</w:t>
      </w:r>
      <w:r w:rsidRPr="00B3329E">
        <w:rPr>
          <w:rFonts w:ascii="Tahoma" w:hAnsi="Tahoma" w:cs="Tahoma"/>
          <w:color w:val="000000" w:themeColor="text1"/>
        </w:rPr>
        <w:t xml:space="preserve"> with an average track record of </w:t>
      </w:r>
      <w:r w:rsidR="006742F1" w:rsidRPr="00B3329E">
        <w:rPr>
          <w:rFonts w:ascii="Tahoma" w:hAnsi="Tahoma" w:cs="Tahoma"/>
          <w:color w:val="000000" w:themeColor="text1"/>
        </w:rPr>
        <w:t>21 years</w:t>
      </w:r>
      <w:r w:rsidRPr="00B3329E">
        <w:rPr>
          <w:rFonts w:ascii="Tahoma" w:hAnsi="Tahoma" w:cs="Tahoma"/>
          <w:color w:val="000000" w:themeColor="text1"/>
        </w:rPr>
        <w:t>.</w:t>
      </w:r>
      <w:r w:rsidR="001F7C55" w:rsidRPr="00B3329E">
        <w:rPr>
          <w:rFonts w:ascii="Tahoma" w:hAnsi="Tahoma" w:cs="Tahoma"/>
          <w:color w:val="000000" w:themeColor="text1"/>
        </w:rPr>
        <w:t xml:space="preserve">  </w:t>
      </w:r>
      <w:r w:rsidR="005B0060" w:rsidRPr="00B3329E">
        <w:rPr>
          <w:rFonts w:ascii="Tahoma" w:hAnsi="Tahoma" w:cs="Tahoma"/>
          <w:color w:val="000000" w:themeColor="text1"/>
        </w:rPr>
        <w:t xml:space="preserve">In addition to analysing the stocks in aggregate, </w:t>
      </w:r>
      <w:r w:rsidR="00123589" w:rsidRPr="00B3329E">
        <w:rPr>
          <w:rFonts w:ascii="Tahoma" w:hAnsi="Tahoma" w:cs="Tahoma"/>
          <w:color w:val="000000" w:themeColor="text1"/>
        </w:rPr>
        <w:t xml:space="preserve">separate subsets </w:t>
      </w:r>
      <w:r w:rsidR="001F7C55" w:rsidRPr="00B3329E">
        <w:rPr>
          <w:rFonts w:ascii="Tahoma" w:hAnsi="Tahoma" w:cs="Tahoma"/>
          <w:color w:val="000000" w:themeColor="text1"/>
        </w:rPr>
        <w:t xml:space="preserve">have been </w:t>
      </w:r>
      <w:r w:rsidR="00123589" w:rsidRPr="00B3329E">
        <w:rPr>
          <w:rFonts w:ascii="Tahoma" w:hAnsi="Tahoma" w:cs="Tahoma"/>
          <w:color w:val="000000" w:themeColor="text1"/>
        </w:rPr>
        <w:t>defined to analyse</w:t>
      </w:r>
      <w:r w:rsidR="001F7C55" w:rsidRPr="00B3329E">
        <w:rPr>
          <w:rFonts w:ascii="Tahoma" w:hAnsi="Tahoma" w:cs="Tahoma"/>
          <w:color w:val="000000" w:themeColor="text1"/>
        </w:rPr>
        <w:t xml:space="preserve"> </w:t>
      </w:r>
      <w:r w:rsidR="00123589" w:rsidRPr="00B3329E">
        <w:rPr>
          <w:rFonts w:ascii="Tahoma" w:hAnsi="Tahoma" w:cs="Tahoma"/>
          <w:color w:val="000000" w:themeColor="text1"/>
        </w:rPr>
        <w:t xml:space="preserve">stocks grouped into </w:t>
      </w:r>
      <w:r w:rsidR="001F7C55" w:rsidRPr="00B3329E">
        <w:rPr>
          <w:rFonts w:ascii="Tahoma" w:hAnsi="Tahoma" w:cs="Tahoma"/>
          <w:color w:val="000000" w:themeColor="text1"/>
        </w:rPr>
        <w:t>the</w:t>
      </w:r>
      <w:r w:rsidR="00123589" w:rsidRPr="00B3329E">
        <w:rPr>
          <w:rFonts w:ascii="Tahoma" w:hAnsi="Tahoma" w:cs="Tahoma"/>
          <w:color w:val="000000" w:themeColor="text1"/>
        </w:rPr>
        <w:t>ir</w:t>
      </w:r>
      <w:r w:rsidR="001F7C55" w:rsidRPr="00B3329E">
        <w:rPr>
          <w:rFonts w:ascii="Tahoma" w:hAnsi="Tahoma" w:cs="Tahoma"/>
          <w:color w:val="000000" w:themeColor="text1"/>
        </w:rPr>
        <w:t xml:space="preserve"> </w:t>
      </w:r>
      <w:r w:rsidR="00123589" w:rsidRPr="00B3329E">
        <w:rPr>
          <w:rFonts w:ascii="Tahoma" w:hAnsi="Tahoma" w:cs="Tahoma"/>
          <w:color w:val="000000" w:themeColor="text1"/>
        </w:rPr>
        <w:t>Morningstar</w:t>
      </w:r>
      <w:r w:rsidR="001F7C55" w:rsidRPr="00B3329E">
        <w:rPr>
          <w:rFonts w:ascii="Tahoma" w:hAnsi="Tahoma" w:cs="Tahoma"/>
          <w:color w:val="000000" w:themeColor="text1"/>
        </w:rPr>
        <w:t xml:space="preserve"> sectors</w:t>
      </w:r>
      <w:r w:rsidR="005B0060" w:rsidRPr="00B3329E">
        <w:rPr>
          <w:rFonts w:ascii="Tahoma" w:hAnsi="Tahoma" w:cs="Tahoma"/>
          <w:color w:val="000000" w:themeColor="text1"/>
        </w:rPr>
        <w:t>,</w:t>
      </w:r>
      <w:r w:rsidR="001F7C55" w:rsidRPr="00B3329E">
        <w:rPr>
          <w:rFonts w:ascii="Tahoma" w:hAnsi="Tahoma" w:cs="Tahoma"/>
          <w:color w:val="000000" w:themeColor="text1"/>
        </w:rPr>
        <w:t xml:space="preserve"> and </w:t>
      </w:r>
      <w:r w:rsidR="005B0060" w:rsidRPr="00B3329E">
        <w:rPr>
          <w:rFonts w:ascii="Tahoma" w:hAnsi="Tahoma" w:cs="Tahoma"/>
          <w:color w:val="000000" w:themeColor="text1"/>
        </w:rPr>
        <w:t xml:space="preserve">by </w:t>
      </w:r>
      <w:r w:rsidR="00123589" w:rsidRPr="00B3329E">
        <w:rPr>
          <w:rFonts w:ascii="Tahoma" w:hAnsi="Tahoma" w:cs="Tahoma"/>
          <w:color w:val="000000" w:themeColor="text1"/>
        </w:rPr>
        <w:t xml:space="preserve">their </w:t>
      </w:r>
      <w:r w:rsidR="001F7C55" w:rsidRPr="00B3329E">
        <w:rPr>
          <w:rFonts w:ascii="Tahoma" w:hAnsi="Tahoma" w:cs="Tahoma"/>
          <w:color w:val="000000" w:themeColor="text1"/>
        </w:rPr>
        <w:t xml:space="preserve">inclusion or </w:t>
      </w:r>
      <w:r w:rsidR="00123589" w:rsidRPr="00B3329E">
        <w:rPr>
          <w:rFonts w:ascii="Tahoma" w:hAnsi="Tahoma" w:cs="Tahoma"/>
          <w:color w:val="000000" w:themeColor="text1"/>
        </w:rPr>
        <w:t>absence</w:t>
      </w:r>
      <w:r w:rsidR="001F7C55" w:rsidRPr="00B3329E">
        <w:rPr>
          <w:rFonts w:ascii="Tahoma" w:hAnsi="Tahoma" w:cs="Tahoma"/>
          <w:color w:val="000000" w:themeColor="text1"/>
        </w:rPr>
        <w:t xml:space="preserve"> </w:t>
      </w:r>
      <w:r w:rsidR="005C2873">
        <w:rPr>
          <w:rFonts w:ascii="Tahoma" w:hAnsi="Tahoma" w:cs="Tahoma"/>
          <w:color w:val="000000" w:themeColor="text1"/>
        </w:rPr>
        <w:t>from</w:t>
      </w:r>
      <w:r w:rsidR="001F7C55" w:rsidRPr="00B3329E">
        <w:rPr>
          <w:rFonts w:ascii="Tahoma" w:hAnsi="Tahoma" w:cs="Tahoma"/>
          <w:color w:val="000000" w:themeColor="text1"/>
        </w:rPr>
        <w:t xml:space="preserve"> the MSCI World.</w:t>
      </w:r>
    </w:p>
    <w:p w:rsidR="00EF6B5F" w:rsidRPr="00B3329E" w:rsidRDefault="00EF6B5F" w:rsidP="00EA6483">
      <w:pPr>
        <w:spacing w:after="0"/>
        <w:rPr>
          <w:rFonts w:ascii="Tahoma" w:hAnsi="Tahoma" w:cs="Tahoma"/>
          <w:color w:val="000000" w:themeColor="text1"/>
        </w:rPr>
      </w:pPr>
    </w:p>
    <w:p w:rsidR="00A72561" w:rsidRPr="00B3329E" w:rsidRDefault="00A72561" w:rsidP="00EA6483">
      <w:pPr>
        <w:spacing w:after="0"/>
        <w:rPr>
          <w:rFonts w:ascii="Tahoma" w:hAnsi="Tahoma" w:cs="Tahoma"/>
          <w:color w:val="000000" w:themeColor="text1"/>
        </w:rPr>
      </w:pPr>
    </w:p>
    <w:p w:rsidR="00E51904" w:rsidRPr="00B3329E" w:rsidRDefault="006A3E42" w:rsidP="00A426E5">
      <w:pPr>
        <w:pStyle w:val="2"/>
        <w:rPr>
          <w:rFonts w:cs="Tahoma"/>
          <w:color w:val="000000" w:themeColor="text1"/>
        </w:rPr>
      </w:pPr>
      <w:bookmarkStart w:id="20" w:name="_Toc523311351"/>
      <w:r w:rsidRPr="00B3329E">
        <w:rPr>
          <w:rFonts w:cs="Tahoma"/>
          <w:color w:val="000000" w:themeColor="text1"/>
        </w:rPr>
        <w:t>4</w:t>
      </w:r>
      <w:r w:rsidR="00FF68FF" w:rsidRPr="00B3329E">
        <w:rPr>
          <w:rFonts w:cs="Tahoma"/>
          <w:color w:val="000000" w:themeColor="text1"/>
        </w:rPr>
        <w:t>.</w:t>
      </w:r>
      <w:r w:rsidR="006742F1" w:rsidRPr="00B3329E">
        <w:rPr>
          <w:rFonts w:cs="Tahoma"/>
          <w:color w:val="000000" w:themeColor="text1"/>
        </w:rPr>
        <w:t>3</w:t>
      </w:r>
      <w:r w:rsidR="00FF68FF" w:rsidRPr="00B3329E">
        <w:rPr>
          <w:rFonts w:cs="Tahoma"/>
          <w:color w:val="000000" w:themeColor="text1"/>
        </w:rPr>
        <w:t xml:space="preserve">. </w:t>
      </w:r>
      <w:r w:rsidR="00F45635" w:rsidRPr="00B3329E">
        <w:rPr>
          <w:rFonts w:cs="Tahoma"/>
          <w:color w:val="000000" w:themeColor="text1"/>
        </w:rPr>
        <w:t>Active funds</w:t>
      </w:r>
      <w:r w:rsidR="003363A1" w:rsidRPr="00B3329E">
        <w:rPr>
          <w:rFonts w:cs="Tahoma"/>
          <w:color w:val="000000" w:themeColor="text1"/>
        </w:rPr>
        <w:t xml:space="preserve"> dataset</w:t>
      </w:r>
      <w:bookmarkEnd w:id="20"/>
    </w:p>
    <w:p w:rsidR="00EA6483" w:rsidRPr="00B3329E" w:rsidRDefault="00EA6483" w:rsidP="00EA6483">
      <w:pPr>
        <w:spacing w:after="0"/>
        <w:rPr>
          <w:rFonts w:ascii="Tahoma" w:hAnsi="Tahoma" w:cs="Tahoma"/>
          <w:color w:val="000000" w:themeColor="text1"/>
        </w:rPr>
      </w:pPr>
    </w:p>
    <w:p w:rsidR="00881576" w:rsidRPr="00B3329E" w:rsidRDefault="00123589" w:rsidP="00EA6483">
      <w:pPr>
        <w:spacing w:after="0"/>
        <w:rPr>
          <w:rFonts w:ascii="Tahoma" w:hAnsi="Tahoma" w:cs="Tahoma"/>
          <w:color w:val="000000" w:themeColor="text1"/>
        </w:rPr>
      </w:pPr>
      <w:r w:rsidRPr="00B3329E">
        <w:rPr>
          <w:rFonts w:ascii="Tahoma" w:hAnsi="Tahoma" w:cs="Tahoma"/>
          <w:color w:val="000000" w:themeColor="text1"/>
        </w:rPr>
        <w:lastRenderedPageBreak/>
        <w:t>A</w:t>
      </w:r>
      <w:r w:rsidR="009A4F02" w:rsidRPr="00B3329E">
        <w:rPr>
          <w:rFonts w:ascii="Tahoma" w:hAnsi="Tahoma" w:cs="Tahoma"/>
          <w:color w:val="000000" w:themeColor="text1"/>
        </w:rPr>
        <w:t xml:space="preserve"> </w:t>
      </w:r>
      <w:r w:rsidR="00AE53D1" w:rsidRPr="00B3329E">
        <w:rPr>
          <w:rFonts w:ascii="Tahoma" w:hAnsi="Tahoma" w:cs="Tahoma"/>
          <w:color w:val="000000" w:themeColor="text1"/>
        </w:rPr>
        <w:t xml:space="preserve">dataset </w:t>
      </w:r>
      <w:r w:rsidR="00F00E58" w:rsidRPr="00B3329E">
        <w:rPr>
          <w:rFonts w:ascii="Tahoma" w:hAnsi="Tahoma" w:cs="Tahoma"/>
          <w:color w:val="000000" w:themeColor="text1"/>
        </w:rPr>
        <w:t xml:space="preserve">is created for </w:t>
      </w:r>
      <w:r w:rsidR="00AE53D1" w:rsidRPr="00B3329E">
        <w:rPr>
          <w:rFonts w:ascii="Tahoma" w:hAnsi="Tahoma" w:cs="Tahoma"/>
          <w:color w:val="000000" w:themeColor="text1"/>
        </w:rPr>
        <w:t>active funds that specialise in the owner</w:t>
      </w:r>
      <w:r w:rsidR="00F34DF6" w:rsidRPr="00B3329E">
        <w:rPr>
          <w:rFonts w:ascii="Tahoma" w:hAnsi="Tahoma" w:cs="Tahoma"/>
          <w:color w:val="000000" w:themeColor="text1"/>
        </w:rPr>
        <w:t>ship of infrastructure st</w:t>
      </w:r>
      <w:r w:rsidR="006E602B" w:rsidRPr="00B3329E">
        <w:rPr>
          <w:rFonts w:ascii="Tahoma" w:hAnsi="Tahoma" w:cs="Tahoma"/>
          <w:color w:val="000000" w:themeColor="text1"/>
        </w:rPr>
        <w:t>ocks.</w:t>
      </w:r>
      <w:r w:rsidR="00EA6483" w:rsidRPr="00B3329E">
        <w:rPr>
          <w:rFonts w:ascii="Tahoma" w:hAnsi="Tahoma" w:cs="Tahoma"/>
          <w:color w:val="000000" w:themeColor="text1"/>
        </w:rPr>
        <w:t xml:space="preserve">  </w:t>
      </w:r>
      <w:r w:rsidR="00F34DF6" w:rsidRPr="00B3329E">
        <w:rPr>
          <w:rFonts w:ascii="Tahoma" w:hAnsi="Tahoma" w:cs="Tahoma"/>
          <w:color w:val="000000" w:themeColor="text1"/>
        </w:rPr>
        <w:t xml:space="preserve">These were </w:t>
      </w:r>
      <w:r w:rsidR="00A34387" w:rsidRPr="00B3329E">
        <w:rPr>
          <w:rFonts w:ascii="Tahoma" w:hAnsi="Tahoma" w:cs="Tahoma"/>
          <w:color w:val="000000" w:themeColor="text1"/>
        </w:rPr>
        <w:t>identified by searching the Morningstar Direct database for open-end</w:t>
      </w:r>
      <w:r w:rsidR="005C2873">
        <w:rPr>
          <w:rFonts w:ascii="Tahoma" w:hAnsi="Tahoma" w:cs="Tahoma"/>
          <w:color w:val="000000" w:themeColor="text1"/>
        </w:rPr>
        <w:t xml:space="preserve">, equity </w:t>
      </w:r>
      <w:r w:rsidR="00A34387" w:rsidRPr="00B3329E">
        <w:rPr>
          <w:rFonts w:ascii="Tahoma" w:hAnsi="Tahoma" w:cs="Tahoma"/>
          <w:color w:val="000000" w:themeColor="text1"/>
        </w:rPr>
        <w:t xml:space="preserve"> mutual fund</w:t>
      </w:r>
      <w:r w:rsidR="006E602B" w:rsidRPr="00B3329E">
        <w:rPr>
          <w:rFonts w:ascii="Tahoma" w:hAnsi="Tahoma" w:cs="Tahoma"/>
          <w:color w:val="000000" w:themeColor="text1"/>
        </w:rPr>
        <w:t>s</w:t>
      </w:r>
      <w:r w:rsidR="00A34387" w:rsidRPr="00B3329E">
        <w:rPr>
          <w:rFonts w:ascii="Tahoma" w:hAnsi="Tahoma" w:cs="Tahoma"/>
          <w:color w:val="000000" w:themeColor="text1"/>
        </w:rPr>
        <w:t xml:space="preserve"> with a name containing “infra”</w:t>
      </w:r>
      <w:r w:rsidR="005D37EA" w:rsidRPr="00B3329E">
        <w:rPr>
          <w:rFonts w:ascii="Tahoma" w:hAnsi="Tahoma" w:cs="Tahoma"/>
          <w:color w:val="000000" w:themeColor="text1"/>
        </w:rPr>
        <w:t>,</w:t>
      </w:r>
      <w:r w:rsidR="00A34387" w:rsidRPr="00B3329E">
        <w:rPr>
          <w:rFonts w:ascii="Tahoma" w:hAnsi="Tahoma" w:cs="Tahoma"/>
          <w:color w:val="000000" w:themeColor="text1"/>
        </w:rPr>
        <w:t xml:space="preserve"> </w:t>
      </w:r>
      <w:r w:rsidR="006E602B" w:rsidRPr="00B3329E">
        <w:rPr>
          <w:rFonts w:ascii="Tahoma" w:hAnsi="Tahoma" w:cs="Tahoma"/>
          <w:color w:val="000000" w:themeColor="text1"/>
        </w:rPr>
        <w:t>or benchmark</w:t>
      </w:r>
      <w:r w:rsidR="00535D3C" w:rsidRPr="00B3329E">
        <w:rPr>
          <w:rFonts w:ascii="Tahoma" w:hAnsi="Tahoma" w:cs="Tahoma"/>
          <w:color w:val="000000" w:themeColor="text1"/>
        </w:rPr>
        <w:t xml:space="preserve">ed to an index with a name </w:t>
      </w:r>
      <w:r w:rsidR="006E602B" w:rsidRPr="00B3329E">
        <w:rPr>
          <w:rFonts w:ascii="Tahoma" w:hAnsi="Tahoma" w:cs="Tahoma"/>
          <w:color w:val="000000" w:themeColor="text1"/>
        </w:rPr>
        <w:t>containing “infra”</w:t>
      </w:r>
      <w:r w:rsidR="00535D3C" w:rsidRPr="00B3329E">
        <w:rPr>
          <w:rFonts w:ascii="Tahoma" w:hAnsi="Tahoma" w:cs="Tahoma"/>
          <w:color w:val="000000" w:themeColor="text1"/>
        </w:rPr>
        <w:t xml:space="preserve">.  </w:t>
      </w:r>
      <w:r w:rsidR="00A34387" w:rsidRPr="00B3329E">
        <w:rPr>
          <w:rFonts w:ascii="Tahoma" w:hAnsi="Tahoma" w:cs="Tahoma"/>
          <w:color w:val="000000" w:themeColor="text1"/>
        </w:rPr>
        <w:t xml:space="preserve">The filtering process </w:t>
      </w:r>
      <w:r w:rsidR="006E602B" w:rsidRPr="00B3329E">
        <w:rPr>
          <w:rFonts w:ascii="Tahoma" w:hAnsi="Tahoma" w:cs="Tahoma"/>
          <w:color w:val="000000" w:themeColor="text1"/>
        </w:rPr>
        <w:t>returned</w:t>
      </w:r>
      <w:r w:rsidR="00A34387" w:rsidRPr="00B3329E">
        <w:rPr>
          <w:rFonts w:ascii="Tahoma" w:hAnsi="Tahoma" w:cs="Tahoma"/>
          <w:color w:val="000000" w:themeColor="text1"/>
        </w:rPr>
        <w:t xml:space="preserve"> </w:t>
      </w:r>
      <w:r w:rsidR="005D37EA" w:rsidRPr="00B3329E">
        <w:rPr>
          <w:rFonts w:ascii="Tahoma" w:hAnsi="Tahoma" w:cs="Tahoma"/>
          <w:color w:val="000000" w:themeColor="text1"/>
        </w:rPr>
        <w:t>117</w:t>
      </w:r>
      <w:r w:rsidR="00A34387" w:rsidRPr="00B3329E">
        <w:rPr>
          <w:rFonts w:ascii="Tahoma" w:hAnsi="Tahoma" w:cs="Tahoma"/>
          <w:color w:val="000000" w:themeColor="text1"/>
        </w:rPr>
        <w:t xml:space="preserve"> funds with an average </w:t>
      </w:r>
      <w:r w:rsidRPr="00B3329E">
        <w:rPr>
          <w:rFonts w:ascii="Tahoma" w:hAnsi="Tahoma" w:cs="Tahoma"/>
          <w:color w:val="000000" w:themeColor="text1"/>
        </w:rPr>
        <w:t xml:space="preserve">size of USD </w:t>
      </w:r>
      <w:r w:rsidR="002F25AC" w:rsidRPr="00B3329E">
        <w:rPr>
          <w:rFonts w:ascii="Tahoma" w:hAnsi="Tahoma" w:cs="Tahoma"/>
          <w:color w:val="000000" w:themeColor="text1"/>
        </w:rPr>
        <w:t>199.6</w:t>
      </w:r>
      <w:r w:rsidRPr="00B3329E">
        <w:rPr>
          <w:rFonts w:ascii="Tahoma" w:hAnsi="Tahoma" w:cs="Tahoma"/>
          <w:color w:val="000000" w:themeColor="text1"/>
        </w:rPr>
        <w:t xml:space="preserve"> </w:t>
      </w:r>
      <w:r w:rsidR="002F25AC" w:rsidRPr="00B3329E">
        <w:rPr>
          <w:rFonts w:ascii="Tahoma" w:hAnsi="Tahoma" w:cs="Tahoma"/>
          <w:color w:val="000000" w:themeColor="text1"/>
        </w:rPr>
        <w:t>m</w:t>
      </w:r>
      <w:r w:rsidRPr="00B3329E">
        <w:rPr>
          <w:rFonts w:ascii="Tahoma" w:hAnsi="Tahoma" w:cs="Tahoma"/>
          <w:color w:val="000000" w:themeColor="text1"/>
        </w:rPr>
        <w:t>illion</w:t>
      </w:r>
      <w:r w:rsidR="009A4F02" w:rsidRPr="00B3329E">
        <w:rPr>
          <w:rFonts w:ascii="Tahoma" w:hAnsi="Tahoma" w:cs="Tahoma"/>
          <w:color w:val="000000" w:themeColor="text1"/>
        </w:rPr>
        <w:t xml:space="preserve"> </w:t>
      </w:r>
      <w:r w:rsidR="006E602B" w:rsidRPr="00B3329E">
        <w:rPr>
          <w:rFonts w:ascii="Tahoma" w:hAnsi="Tahoma" w:cs="Tahoma"/>
          <w:color w:val="000000" w:themeColor="text1"/>
        </w:rPr>
        <w:t xml:space="preserve">and </w:t>
      </w:r>
      <w:r w:rsidR="00881576" w:rsidRPr="00B3329E">
        <w:rPr>
          <w:rFonts w:ascii="Tahoma" w:hAnsi="Tahoma" w:cs="Tahoma"/>
          <w:color w:val="000000" w:themeColor="text1"/>
        </w:rPr>
        <w:t xml:space="preserve">average track record of </w:t>
      </w:r>
      <w:r w:rsidR="008D05EC" w:rsidRPr="00B3329E">
        <w:rPr>
          <w:rFonts w:ascii="Tahoma" w:hAnsi="Tahoma" w:cs="Tahoma"/>
          <w:color w:val="000000" w:themeColor="text1"/>
        </w:rPr>
        <w:t>7</w:t>
      </w:r>
      <w:r w:rsidR="00881576" w:rsidRPr="00B3329E">
        <w:rPr>
          <w:rFonts w:ascii="Tahoma" w:hAnsi="Tahoma" w:cs="Tahoma"/>
          <w:color w:val="000000" w:themeColor="text1"/>
        </w:rPr>
        <w:t xml:space="preserve"> years </w:t>
      </w:r>
      <w:r w:rsidR="002F25AC" w:rsidRPr="00B3329E">
        <w:rPr>
          <w:rFonts w:ascii="Tahoma" w:hAnsi="Tahoma" w:cs="Tahoma"/>
          <w:color w:val="000000" w:themeColor="text1"/>
        </w:rPr>
        <w:t>(Morningstar</w:t>
      </w:r>
      <w:r w:rsidR="00881576" w:rsidRPr="00B3329E">
        <w:rPr>
          <w:rFonts w:ascii="Tahoma" w:hAnsi="Tahoma" w:cs="Tahoma"/>
          <w:color w:val="000000" w:themeColor="text1"/>
        </w:rPr>
        <w:t xml:space="preserve"> </w:t>
      </w:r>
      <w:r w:rsidR="002F25AC" w:rsidRPr="00B3329E">
        <w:rPr>
          <w:rFonts w:ascii="Tahoma" w:hAnsi="Tahoma" w:cs="Tahoma"/>
          <w:color w:val="000000" w:themeColor="text1"/>
        </w:rPr>
        <w:t>Direct, 2018)</w:t>
      </w:r>
      <w:r w:rsidR="005D37EA" w:rsidRPr="00B3329E">
        <w:rPr>
          <w:rFonts w:ascii="Tahoma" w:hAnsi="Tahoma" w:cs="Tahoma"/>
          <w:color w:val="000000" w:themeColor="text1"/>
        </w:rPr>
        <w:t xml:space="preserve">.  </w:t>
      </w:r>
      <w:r w:rsidR="005C2873">
        <w:rPr>
          <w:rFonts w:ascii="Tahoma" w:hAnsi="Tahoma" w:cs="Tahoma"/>
          <w:color w:val="000000" w:themeColor="text1"/>
        </w:rPr>
        <w:t>N</w:t>
      </w:r>
      <w:r w:rsidR="005C2873" w:rsidRPr="00B3329E">
        <w:rPr>
          <w:rFonts w:ascii="Tahoma" w:hAnsi="Tahoma" w:cs="Tahoma"/>
          <w:color w:val="000000" w:themeColor="text1"/>
        </w:rPr>
        <w:t xml:space="preserve">o </w:t>
      </w:r>
      <w:r w:rsidRPr="00B3329E">
        <w:rPr>
          <w:rFonts w:ascii="Tahoma" w:hAnsi="Tahoma" w:cs="Tahoma"/>
          <w:color w:val="000000" w:themeColor="text1"/>
        </w:rPr>
        <w:t>funds</w:t>
      </w:r>
      <w:r w:rsidR="00881576" w:rsidRPr="00B3329E">
        <w:rPr>
          <w:rFonts w:ascii="Tahoma" w:hAnsi="Tahoma" w:cs="Tahoma"/>
          <w:color w:val="000000" w:themeColor="text1"/>
        </w:rPr>
        <w:t xml:space="preserve"> </w:t>
      </w:r>
      <w:r w:rsidR="005C2873" w:rsidRPr="00B3329E">
        <w:rPr>
          <w:rFonts w:ascii="Tahoma" w:hAnsi="Tahoma" w:cs="Tahoma"/>
          <w:color w:val="000000" w:themeColor="text1"/>
        </w:rPr>
        <w:t>w</w:t>
      </w:r>
      <w:r w:rsidR="005C2873">
        <w:rPr>
          <w:rFonts w:ascii="Tahoma" w:hAnsi="Tahoma" w:cs="Tahoma"/>
          <w:color w:val="000000" w:themeColor="text1"/>
        </w:rPr>
        <w:t>ere</w:t>
      </w:r>
      <w:r w:rsidR="005C2873" w:rsidRPr="00B3329E">
        <w:rPr>
          <w:rFonts w:ascii="Tahoma" w:hAnsi="Tahoma" w:cs="Tahoma"/>
          <w:color w:val="000000" w:themeColor="text1"/>
        </w:rPr>
        <w:t xml:space="preserve"> </w:t>
      </w:r>
      <w:r w:rsidR="005C2873">
        <w:rPr>
          <w:rFonts w:ascii="Tahoma" w:hAnsi="Tahoma" w:cs="Tahoma"/>
          <w:color w:val="000000" w:themeColor="text1"/>
        </w:rPr>
        <w:t>excluded</w:t>
      </w:r>
      <w:r w:rsidR="005C2873" w:rsidRPr="00B3329E">
        <w:rPr>
          <w:rFonts w:ascii="Tahoma" w:hAnsi="Tahoma" w:cs="Tahoma"/>
          <w:color w:val="000000" w:themeColor="text1"/>
        </w:rPr>
        <w:t xml:space="preserve"> </w:t>
      </w:r>
      <w:r w:rsidR="006E602B" w:rsidRPr="00B3329E">
        <w:rPr>
          <w:rFonts w:ascii="Tahoma" w:hAnsi="Tahoma" w:cs="Tahoma"/>
          <w:color w:val="000000" w:themeColor="text1"/>
        </w:rPr>
        <w:t>based on</w:t>
      </w:r>
      <w:r w:rsidR="005D37EA" w:rsidRPr="00B3329E">
        <w:rPr>
          <w:rFonts w:ascii="Tahoma" w:hAnsi="Tahoma" w:cs="Tahoma"/>
          <w:color w:val="000000" w:themeColor="text1"/>
        </w:rPr>
        <w:t xml:space="preserve"> asset </w:t>
      </w:r>
      <w:r w:rsidR="009A4F02" w:rsidRPr="00B3329E">
        <w:rPr>
          <w:rFonts w:ascii="Tahoma" w:hAnsi="Tahoma" w:cs="Tahoma"/>
          <w:color w:val="000000" w:themeColor="text1"/>
        </w:rPr>
        <w:t>size</w:t>
      </w:r>
      <w:r w:rsidRPr="00B3329E">
        <w:rPr>
          <w:rFonts w:ascii="Tahoma" w:hAnsi="Tahoma" w:cs="Tahoma"/>
          <w:color w:val="000000" w:themeColor="text1"/>
        </w:rPr>
        <w:t>.  Firstly, because</w:t>
      </w:r>
      <w:r w:rsidR="005D37EA" w:rsidRPr="00B3329E">
        <w:rPr>
          <w:rFonts w:ascii="Tahoma" w:hAnsi="Tahoma" w:cs="Tahoma"/>
          <w:color w:val="000000" w:themeColor="text1"/>
        </w:rPr>
        <w:t xml:space="preserve"> </w:t>
      </w:r>
      <w:r w:rsidRPr="00B3329E">
        <w:rPr>
          <w:rFonts w:ascii="Tahoma" w:hAnsi="Tahoma" w:cs="Tahoma"/>
          <w:color w:val="000000" w:themeColor="text1"/>
        </w:rPr>
        <w:t>fund sizes are</w:t>
      </w:r>
      <w:r w:rsidR="005D37EA" w:rsidRPr="00B3329E">
        <w:rPr>
          <w:rFonts w:ascii="Tahoma" w:hAnsi="Tahoma" w:cs="Tahoma"/>
          <w:color w:val="000000" w:themeColor="text1"/>
        </w:rPr>
        <w:t xml:space="preserve"> not static </w:t>
      </w:r>
      <w:r w:rsidRPr="00B3329E">
        <w:rPr>
          <w:rFonts w:ascii="Tahoma" w:hAnsi="Tahoma" w:cs="Tahoma"/>
          <w:color w:val="000000" w:themeColor="text1"/>
        </w:rPr>
        <w:t xml:space="preserve">and, secondly, </w:t>
      </w:r>
      <w:r w:rsidR="005D37EA" w:rsidRPr="00B3329E">
        <w:rPr>
          <w:rFonts w:ascii="Tahoma" w:hAnsi="Tahoma" w:cs="Tahoma"/>
          <w:color w:val="000000" w:themeColor="text1"/>
        </w:rPr>
        <w:t>doing so reduces comparability with future studies.</w:t>
      </w:r>
    </w:p>
    <w:p w:rsidR="005D37EA" w:rsidRPr="00B3329E" w:rsidRDefault="005D37EA"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F45635" w:rsidRPr="00B3329E" w:rsidRDefault="006A3E42" w:rsidP="00A426E5">
      <w:pPr>
        <w:pStyle w:val="2"/>
        <w:rPr>
          <w:rFonts w:cs="Tahoma"/>
          <w:color w:val="000000" w:themeColor="text1"/>
        </w:rPr>
      </w:pPr>
      <w:bookmarkStart w:id="21" w:name="_Toc523311352"/>
      <w:r w:rsidRPr="00B3329E">
        <w:rPr>
          <w:rFonts w:cs="Tahoma"/>
          <w:color w:val="000000" w:themeColor="text1"/>
        </w:rPr>
        <w:t>4</w:t>
      </w:r>
      <w:r w:rsidR="00FF68FF" w:rsidRPr="00B3329E">
        <w:rPr>
          <w:rFonts w:cs="Tahoma"/>
          <w:color w:val="000000" w:themeColor="text1"/>
        </w:rPr>
        <w:t>.</w:t>
      </w:r>
      <w:r w:rsidRPr="00B3329E">
        <w:rPr>
          <w:rFonts w:cs="Tahoma"/>
          <w:color w:val="000000" w:themeColor="text1"/>
        </w:rPr>
        <w:t>4</w:t>
      </w:r>
      <w:r w:rsidR="00FF68FF" w:rsidRPr="00B3329E">
        <w:rPr>
          <w:rFonts w:cs="Tahoma"/>
          <w:color w:val="000000" w:themeColor="text1"/>
        </w:rPr>
        <w:t xml:space="preserve">. </w:t>
      </w:r>
      <w:r w:rsidR="00F45635" w:rsidRPr="00B3329E">
        <w:rPr>
          <w:rFonts w:cs="Tahoma"/>
          <w:color w:val="000000" w:themeColor="text1"/>
        </w:rPr>
        <w:t>Indices</w:t>
      </w:r>
      <w:r w:rsidR="003363A1" w:rsidRPr="00B3329E">
        <w:rPr>
          <w:rFonts w:cs="Tahoma"/>
          <w:color w:val="000000" w:themeColor="text1"/>
        </w:rPr>
        <w:t xml:space="preserve"> dataset</w:t>
      </w:r>
      <w:bookmarkEnd w:id="21"/>
    </w:p>
    <w:p w:rsidR="00EA6483" w:rsidRPr="00B3329E" w:rsidRDefault="00EA6483" w:rsidP="00EA6483">
      <w:pPr>
        <w:spacing w:after="0"/>
        <w:rPr>
          <w:rFonts w:ascii="Tahoma" w:hAnsi="Tahoma" w:cs="Tahoma"/>
          <w:color w:val="000000" w:themeColor="text1"/>
        </w:rPr>
      </w:pPr>
    </w:p>
    <w:p w:rsidR="00123589" w:rsidRPr="00B3329E" w:rsidRDefault="00123589" w:rsidP="00EA6483">
      <w:pPr>
        <w:spacing w:after="0"/>
        <w:rPr>
          <w:rFonts w:ascii="Tahoma" w:hAnsi="Tahoma" w:cs="Tahoma"/>
          <w:color w:val="000000" w:themeColor="text1"/>
        </w:rPr>
      </w:pPr>
      <w:r w:rsidRPr="00B3329E">
        <w:rPr>
          <w:rFonts w:ascii="Tahoma" w:hAnsi="Tahoma" w:cs="Tahoma"/>
          <w:color w:val="000000" w:themeColor="text1"/>
        </w:rPr>
        <w:t xml:space="preserve">Listed infrastructure indices are </w:t>
      </w:r>
      <w:r w:rsidR="009A4F02" w:rsidRPr="00B3329E">
        <w:rPr>
          <w:rFonts w:ascii="Tahoma" w:hAnsi="Tahoma" w:cs="Tahoma"/>
          <w:color w:val="000000" w:themeColor="text1"/>
        </w:rPr>
        <w:t xml:space="preserve">managed by index providers with the objective of tracking the performance of a diversified </w:t>
      </w:r>
      <w:r w:rsidRPr="00B3329E">
        <w:rPr>
          <w:rFonts w:ascii="Tahoma" w:hAnsi="Tahoma" w:cs="Tahoma"/>
          <w:color w:val="000000" w:themeColor="text1"/>
        </w:rPr>
        <w:t>set</w:t>
      </w:r>
      <w:r w:rsidR="009A4F02" w:rsidRPr="00B3329E">
        <w:rPr>
          <w:rFonts w:ascii="Tahoma" w:hAnsi="Tahoma" w:cs="Tahoma"/>
          <w:color w:val="000000" w:themeColor="text1"/>
        </w:rPr>
        <w:t xml:space="preserve"> of liquid infrastructure shares </w:t>
      </w:r>
      <w:r w:rsidRPr="00B3329E">
        <w:rPr>
          <w:rFonts w:ascii="Tahoma" w:hAnsi="Tahoma" w:cs="Tahoma"/>
          <w:color w:val="000000" w:themeColor="text1"/>
        </w:rPr>
        <w:t>with constituent weights determined by market-</w:t>
      </w:r>
      <w:r w:rsidR="009A4F02" w:rsidRPr="00B3329E">
        <w:rPr>
          <w:rFonts w:ascii="Tahoma" w:hAnsi="Tahoma" w:cs="Tahoma"/>
          <w:color w:val="000000" w:themeColor="text1"/>
        </w:rPr>
        <w:t xml:space="preserve">cap. </w:t>
      </w:r>
      <w:r w:rsidRPr="00B3329E">
        <w:rPr>
          <w:rFonts w:ascii="Tahoma" w:hAnsi="Tahoma" w:cs="Tahoma"/>
          <w:color w:val="000000" w:themeColor="text1"/>
        </w:rPr>
        <w:t>The dataset for indices was compiled by screening the</w:t>
      </w:r>
      <w:r w:rsidR="00F45635" w:rsidRPr="00B3329E">
        <w:rPr>
          <w:rFonts w:ascii="Tahoma" w:hAnsi="Tahoma" w:cs="Tahoma"/>
          <w:color w:val="000000" w:themeColor="text1"/>
        </w:rPr>
        <w:t xml:space="preserve"> Morningstar Direct database for </w:t>
      </w:r>
      <w:r w:rsidR="00636926">
        <w:rPr>
          <w:rFonts w:ascii="Tahoma" w:hAnsi="Tahoma" w:cs="Tahoma"/>
          <w:color w:val="000000" w:themeColor="text1"/>
        </w:rPr>
        <w:t xml:space="preserve">equity </w:t>
      </w:r>
      <w:r w:rsidR="00F45635" w:rsidRPr="00B3329E">
        <w:rPr>
          <w:rFonts w:ascii="Tahoma" w:hAnsi="Tahoma" w:cs="Tahoma"/>
          <w:color w:val="000000" w:themeColor="text1"/>
        </w:rPr>
        <w:t xml:space="preserve">market indices containing “infra’ in their name.  </w:t>
      </w:r>
      <w:r w:rsidR="005D37EA" w:rsidRPr="00B3329E">
        <w:rPr>
          <w:rFonts w:ascii="Tahoma" w:hAnsi="Tahoma" w:cs="Tahoma"/>
          <w:color w:val="000000" w:themeColor="text1"/>
        </w:rPr>
        <w:t xml:space="preserve">This resulted in </w:t>
      </w:r>
      <w:r w:rsidR="00E76F0A" w:rsidRPr="00B3329E">
        <w:rPr>
          <w:rFonts w:ascii="Tahoma" w:hAnsi="Tahoma" w:cs="Tahoma"/>
          <w:color w:val="000000" w:themeColor="text1"/>
        </w:rPr>
        <w:t xml:space="preserve">a sample of </w:t>
      </w:r>
      <w:r w:rsidR="005D37EA" w:rsidRPr="00B3329E">
        <w:rPr>
          <w:rFonts w:ascii="Tahoma" w:hAnsi="Tahoma" w:cs="Tahoma"/>
          <w:color w:val="000000" w:themeColor="text1"/>
        </w:rPr>
        <w:t>31 indices</w:t>
      </w:r>
      <w:r w:rsidR="00881576" w:rsidRPr="00B3329E">
        <w:rPr>
          <w:rFonts w:ascii="Tahoma" w:hAnsi="Tahoma" w:cs="Tahoma"/>
          <w:color w:val="000000" w:themeColor="text1"/>
        </w:rPr>
        <w:t xml:space="preserve"> with an average track record of </w:t>
      </w:r>
      <w:r w:rsidR="00860CC6" w:rsidRPr="00B3329E">
        <w:rPr>
          <w:rFonts w:ascii="Tahoma" w:hAnsi="Tahoma" w:cs="Tahoma"/>
          <w:color w:val="000000" w:themeColor="text1"/>
        </w:rPr>
        <w:t>12</w:t>
      </w:r>
      <w:r w:rsidR="00881576" w:rsidRPr="00B3329E">
        <w:rPr>
          <w:rFonts w:ascii="Tahoma" w:hAnsi="Tahoma" w:cs="Tahoma"/>
          <w:color w:val="000000" w:themeColor="text1"/>
        </w:rPr>
        <w:t xml:space="preserve"> years</w:t>
      </w:r>
      <w:r w:rsidRPr="00B3329E">
        <w:rPr>
          <w:rFonts w:ascii="Tahoma" w:hAnsi="Tahoma" w:cs="Tahoma"/>
          <w:color w:val="000000" w:themeColor="text1"/>
        </w:rPr>
        <w:t xml:space="preserve">.  </w:t>
      </w:r>
    </w:p>
    <w:p w:rsidR="00123589" w:rsidRPr="00B3329E" w:rsidRDefault="00123589" w:rsidP="00EA6483">
      <w:pPr>
        <w:spacing w:after="0"/>
        <w:rPr>
          <w:rFonts w:ascii="Tahoma" w:hAnsi="Tahoma" w:cs="Tahoma"/>
          <w:color w:val="000000" w:themeColor="text1"/>
        </w:rPr>
      </w:pPr>
    </w:p>
    <w:p w:rsidR="00F45635" w:rsidRPr="00B3329E" w:rsidRDefault="00FB1222" w:rsidP="00EA6483">
      <w:pPr>
        <w:spacing w:after="0"/>
        <w:rPr>
          <w:rFonts w:ascii="Tahoma" w:hAnsi="Tahoma" w:cs="Tahoma"/>
          <w:color w:val="000000" w:themeColor="text1"/>
        </w:rPr>
      </w:pPr>
      <w:r w:rsidRPr="00B3329E">
        <w:rPr>
          <w:rFonts w:ascii="Tahoma" w:hAnsi="Tahoma" w:cs="Tahoma"/>
          <w:color w:val="000000" w:themeColor="text1"/>
        </w:rPr>
        <w:t>Most of the 31 indices take</w:t>
      </w:r>
      <w:r w:rsidR="00881576" w:rsidRPr="00B3329E">
        <w:rPr>
          <w:rFonts w:ascii="Tahoma" w:hAnsi="Tahoma" w:cs="Tahoma"/>
          <w:color w:val="000000" w:themeColor="text1"/>
        </w:rPr>
        <w:t xml:space="preserve"> a broad approach </w:t>
      </w:r>
      <w:r w:rsidRPr="00B3329E">
        <w:rPr>
          <w:rFonts w:ascii="Tahoma" w:hAnsi="Tahoma" w:cs="Tahoma"/>
          <w:color w:val="000000" w:themeColor="text1"/>
        </w:rPr>
        <w:t>of being</w:t>
      </w:r>
      <w:r w:rsidR="00F45635" w:rsidRPr="00B3329E">
        <w:rPr>
          <w:rFonts w:ascii="Tahoma" w:hAnsi="Tahoma" w:cs="Tahoma"/>
          <w:color w:val="000000" w:themeColor="text1"/>
        </w:rPr>
        <w:t xml:space="preserve"> global</w:t>
      </w:r>
      <w:r w:rsidR="00881576" w:rsidRPr="00B3329E">
        <w:rPr>
          <w:rFonts w:ascii="Tahoma" w:hAnsi="Tahoma" w:cs="Tahoma"/>
          <w:color w:val="000000" w:themeColor="text1"/>
        </w:rPr>
        <w:t>ly diversified</w:t>
      </w:r>
      <w:r w:rsidR="00F45635" w:rsidRPr="00B3329E">
        <w:rPr>
          <w:rFonts w:ascii="Tahoma" w:hAnsi="Tahoma" w:cs="Tahoma"/>
          <w:color w:val="000000" w:themeColor="text1"/>
        </w:rPr>
        <w:t xml:space="preserve"> across multiple sectors but there are </w:t>
      </w:r>
      <w:r w:rsidR="005D37EA" w:rsidRPr="00B3329E">
        <w:rPr>
          <w:rFonts w:ascii="Tahoma" w:hAnsi="Tahoma" w:cs="Tahoma"/>
          <w:color w:val="000000" w:themeColor="text1"/>
        </w:rPr>
        <w:t>17</w:t>
      </w:r>
      <w:r w:rsidR="00F45635" w:rsidRPr="00B3329E">
        <w:rPr>
          <w:rFonts w:ascii="Tahoma" w:hAnsi="Tahoma" w:cs="Tahoma"/>
          <w:color w:val="000000" w:themeColor="text1"/>
        </w:rPr>
        <w:t xml:space="preserve"> </w:t>
      </w:r>
      <w:r w:rsidR="00881576" w:rsidRPr="00B3329E">
        <w:rPr>
          <w:rFonts w:ascii="Tahoma" w:hAnsi="Tahoma" w:cs="Tahoma"/>
          <w:color w:val="000000" w:themeColor="text1"/>
        </w:rPr>
        <w:t xml:space="preserve">indices </w:t>
      </w:r>
      <w:r w:rsidR="00F45635" w:rsidRPr="00B3329E">
        <w:rPr>
          <w:rFonts w:ascii="Tahoma" w:hAnsi="Tahoma" w:cs="Tahoma"/>
          <w:color w:val="000000" w:themeColor="text1"/>
        </w:rPr>
        <w:t xml:space="preserve">that take a </w:t>
      </w:r>
      <w:r w:rsidR="005D37EA" w:rsidRPr="00B3329E">
        <w:rPr>
          <w:rFonts w:ascii="Tahoma" w:hAnsi="Tahoma" w:cs="Tahoma"/>
          <w:color w:val="000000" w:themeColor="text1"/>
        </w:rPr>
        <w:t xml:space="preserve">specific </w:t>
      </w:r>
      <w:r w:rsidR="00F45635" w:rsidRPr="00B3329E">
        <w:rPr>
          <w:rFonts w:ascii="Tahoma" w:hAnsi="Tahoma" w:cs="Tahoma"/>
          <w:color w:val="000000" w:themeColor="text1"/>
        </w:rPr>
        <w:t xml:space="preserve">regional </w:t>
      </w:r>
      <w:r w:rsidR="005D37EA" w:rsidRPr="00B3329E">
        <w:rPr>
          <w:rFonts w:ascii="Tahoma" w:hAnsi="Tahoma" w:cs="Tahoma"/>
          <w:color w:val="000000" w:themeColor="text1"/>
        </w:rPr>
        <w:t xml:space="preserve">or </w:t>
      </w:r>
      <w:r w:rsidR="00F45635" w:rsidRPr="00B3329E">
        <w:rPr>
          <w:rFonts w:ascii="Tahoma" w:hAnsi="Tahoma" w:cs="Tahoma"/>
          <w:color w:val="000000" w:themeColor="text1"/>
        </w:rPr>
        <w:t>sector focus</w:t>
      </w:r>
      <w:r w:rsidR="00881576" w:rsidRPr="00B3329E">
        <w:rPr>
          <w:rFonts w:ascii="Tahoma" w:hAnsi="Tahoma" w:cs="Tahoma"/>
          <w:color w:val="000000" w:themeColor="text1"/>
        </w:rPr>
        <w:t xml:space="preserve">. </w:t>
      </w:r>
      <w:r w:rsidR="00F45635" w:rsidRPr="00B3329E">
        <w:rPr>
          <w:rFonts w:ascii="Tahoma" w:hAnsi="Tahoma" w:cs="Tahoma"/>
          <w:color w:val="000000" w:themeColor="text1"/>
        </w:rPr>
        <w:t xml:space="preserve">The study has </w:t>
      </w:r>
      <w:r w:rsidR="00FC535A" w:rsidRPr="00B3329E">
        <w:rPr>
          <w:rFonts w:ascii="Tahoma" w:hAnsi="Tahoma" w:cs="Tahoma"/>
          <w:color w:val="000000" w:themeColor="text1"/>
        </w:rPr>
        <w:t xml:space="preserve">not </w:t>
      </w:r>
      <w:r w:rsidR="00F45635" w:rsidRPr="00B3329E">
        <w:rPr>
          <w:rFonts w:ascii="Tahoma" w:hAnsi="Tahoma" w:cs="Tahoma"/>
          <w:color w:val="000000" w:themeColor="text1"/>
        </w:rPr>
        <w:t>omitted indices that have a regiona</w:t>
      </w:r>
      <w:r w:rsidR="00554DD0" w:rsidRPr="00B3329E">
        <w:rPr>
          <w:rFonts w:ascii="Tahoma" w:hAnsi="Tahoma" w:cs="Tahoma"/>
          <w:color w:val="000000" w:themeColor="text1"/>
        </w:rPr>
        <w:t xml:space="preserve">l or </w:t>
      </w:r>
      <w:r w:rsidR="00F45635" w:rsidRPr="00B3329E">
        <w:rPr>
          <w:rFonts w:ascii="Tahoma" w:hAnsi="Tahoma" w:cs="Tahoma"/>
          <w:color w:val="000000" w:themeColor="text1"/>
        </w:rPr>
        <w:t>sector focus</w:t>
      </w:r>
      <w:r w:rsidR="00FC535A" w:rsidRPr="00B3329E">
        <w:rPr>
          <w:rFonts w:ascii="Tahoma" w:hAnsi="Tahoma" w:cs="Tahoma"/>
          <w:color w:val="000000" w:themeColor="text1"/>
        </w:rPr>
        <w:t xml:space="preserve"> but present</w:t>
      </w:r>
      <w:r w:rsidR="00554DD0" w:rsidRPr="00B3329E">
        <w:rPr>
          <w:rFonts w:ascii="Tahoma" w:hAnsi="Tahoma" w:cs="Tahoma"/>
          <w:color w:val="000000" w:themeColor="text1"/>
        </w:rPr>
        <w:t>s</w:t>
      </w:r>
      <w:r w:rsidR="00FC535A" w:rsidRPr="00B3329E">
        <w:rPr>
          <w:rFonts w:ascii="Tahoma" w:hAnsi="Tahoma" w:cs="Tahoma"/>
          <w:color w:val="000000" w:themeColor="text1"/>
        </w:rPr>
        <w:t xml:space="preserve"> </w:t>
      </w:r>
      <w:r w:rsidR="00881576" w:rsidRPr="00B3329E">
        <w:rPr>
          <w:rFonts w:ascii="Tahoma" w:hAnsi="Tahoma" w:cs="Tahoma"/>
          <w:color w:val="000000" w:themeColor="text1"/>
        </w:rPr>
        <w:t xml:space="preserve">data for </w:t>
      </w:r>
      <w:r w:rsidR="00554DD0" w:rsidRPr="00B3329E">
        <w:rPr>
          <w:rFonts w:ascii="Tahoma" w:hAnsi="Tahoma" w:cs="Tahoma"/>
          <w:color w:val="000000" w:themeColor="text1"/>
        </w:rPr>
        <w:t xml:space="preserve">a sub-set of indices that </w:t>
      </w:r>
      <w:r w:rsidR="00881576" w:rsidRPr="00B3329E">
        <w:rPr>
          <w:rFonts w:ascii="Tahoma" w:hAnsi="Tahoma" w:cs="Tahoma"/>
          <w:color w:val="000000" w:themeColor="text1"/>
        </w:rPr>
        <w:t xml:space="preserve">take </w:t>
      </w:r>
      <w:r w:rsidR="00554DD0" w:rsidRPr="00B3329E">
        <w:rPr>
          <w:rFonts w:ascii="Tahoma" w:hAnsi="Tahoma" w:cs="Tahoma"/>
          <w:color w:val="000000" w:themeColor="text1"/>
        </w:rPr>
        <w:t>a global, diversified approach</w:t>
      </w:r>
      <w:r w:rsidR="00881576" w:rsidRPr="00B3329E">
        <w:rPr>
          <w:rFonts w:ascii="Tahoma" w:hAnsi="Tahoma" w:cs="Tahoma"/>
          <w:color w:val="000000" w:themeColor="text1"/>
        </w:rPr>
        <w:t xml:space="preserve">, which may be </w:t>
      </w:r>
      <w:r w:rsidR="00554DD0" w:rsidRPr="00B3329E">
        <w:rPr>
          <w:rFonts w:ascii="Tahoma" w:hAnsi="Tahoma" w:cs="Tahoma"/>
          <w:color w:val="000000" w:themeColor="text1"/>
        </w:rPr>
        <w:t>more representative of the</w:t>
      </w:r>
      <w:r w:rsidR="00F45635" w:rsidRPr="00B3329E">
        <w:rPr>
          <w:rFonts w:ascii="Tahoma" w:hAnsi="Tahoma" w:cs="Tahoma"/>
          <w:color w:val="000000" w:themeColor="text1"/>
        </w:rPr>
        <w:t xml:space="preserve"> </w:t>
      </w:r>
      <w:r w:rsidRPr="00B3329E">
        <w:rPr>
          <w:rFonts w:ascii="Tahoma" w:hAnsi="Tahoma" w:cs="Tahoma"/>
          <w:color w:val="000000" w:themeColor="text1"/>
        </w:rPr>
        <w:t>overall investment opportunity.</w:t>
      </w:r>
    </w:p>
    <w:p w:rsidR="00476A1B" w:rsidRPr="00B3329E" w:rsidRDefault="00476A1B"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CA2821" w:rsidRDefault="00CA2821">
      <w:pPr>
        <w:rPr>
          <w:rFonts w:ascii="Tahoma" w:eastAsiaTheme="majorEastAsia" w:hAnsi="Tahoma" w:cs="Tahoma"/>
          <w:b/>
          <w:color w:val="000000" w:themeColor="text1"/>
          <w:szCs w:val="32"/>
        </w:rPr>
      </w:pPr>
      <w:bookmarkStart w:id="22" w:name="_Toc523311353"/>
      <w:r>
        <w:rPr>
          <w:rFonts w:cs="Tahoma"/>
          <w:color w:val="000000" w:themeColor="text1"/>
        </w:rPr>
        <w:br w:type="page"/>
      </w:r>
    </w:p>
    <w:p w:rsidR="00A72561" w:rsidRPr="00B3329E" w:rsidRDefault="006A3E42" w:rsidP="00A426E5">
      <w:pPr>
        <w:pStyle w:val="2"/>
        <w:rPr>
          <w:rFonts w:cs="Tahoma"/>
          <w:color w:val="000000" w:themeColor="text1"/>
        </w:rPr>
      </w:pPr>
      <w:r w:rsidRPr="00B3329E">
        <w:rPr>
          <w:rFonts w:cs="Tahoma"/>
          <w:color w:val="000000" w:themeColor="text1"/>
        </w:rPr>
        <w:lastRenderedPageBreak/>
        <w:t>4</w:t>
      </w:r>
      <w:r w:rsidR="00EA6483" w:rsidRPr="00B3329E">
        <w:rPr>
          <w:rFonts w:cs="Tahoma"/>
          <w:color w:val="000000" w:themeColor="text1"/>
        </w:rPr>
        <w:t>.</w:t>
      </w:r>
      <w:r w:rsidRPr="00B3329E">
        <w:rPr>
          <w:rFonts w:cs="Tahoma"/>
          <w:color w:val="000000" w:themeColor="text1"/>
        </w:rPr>
        <w:t>5</w:t>
      </w:r>
      <w:r w:rsidR="00EA6483" w:rsidRPr="00B3329E">
        <w:rPr>
          <w:rFonts w:cs="Tahoma"/>
          <w:color w:val="000000" w:themeColor="text1"/>
        </w:rPr>
        <w:t xml:space="preserve">. </w:t>
      </w:r>
      <w:r w:rsidR="00A72561" w:rsidRPr="00B3329E">
        <w:rPr>
          <w:rFonts w:cs="Tahoma"/>
          <w:color w:val="000000" w:themeColor="text1"/>
        </w:rPr>
        <w:t>Data</w:t>
      </w:r>
      <w:r w:rsidR="00476A1B" w:rsidRPr="00B3329E">
        <w:rPr>
          <w:rFonts w:cs="Tahoma"/>
          <w:color w:val="000000" w:themeColor="text1"/>
        </w:rPr>
        <w:t xml:space="preserve"> Source</w:t>
      </w:r>
      <w:bookmarkEnd w:id="22"/>
    </w:p>
    <w:p w:rsidR="00EA6483" w:rsidRPr="00B3329E" w:rsidRDefault="00EA6483" w:rsidP="00EA6483">
      <w:pPr>
        <w:spacing w:after="0"/>
        <w:rPr>
          <w:rFonts w:ascii="Tahoma" w:hAnsi="Tahoma" w:cs="Tahoma"/>
          <w:color w:val="000000" w:themeColor="text1"/>
        </w:rPr>
      </w:pPr>
    </w:p>
    <w:p w:rsidR="00A72561" w:rsidRPr="00B3329E" w:rsidRDefault="00A72561" w:rsidP="00EA6483">
      <w:pPr>
        <w:spacing w:after="0"/>
        <w:rPr>
          <w:rFonts w:ascii="Tahoma" w:hAnsi="Tahoma" w:cs="Tahoma"/>
          <w:color w:val="000000" w:themeColor="text1"/>
        </w:rPr>
      </w:pPr>
      <w:r w:rsidRPr="00B3329E">
        <w:rPr>
          <w:rFonts w:ascii="Tahoma" w:hAnsi="Tahoma" w:cs="Tahoma"/>
          <w:color w:val="000000" w:themeColor="text1"/>
        </w:rPr>
        <w:t xml:space="preserve">Data </w:t>
      </w:r>
      <w:r w:rsidR="00476A1B" w:rsidRPr="00B3329E">
        <w:rPr>
          <w:rFonts w:ascii="Tahoma" w:hAnsi="Tahoma" w:cs="Tahoma"/>
          <w:color w:val="000000" w:themeColor="text1"/>
        </w:rPr>
        <w:t>for</w:t>
      </w:r>
      <w:r w:rsidRPr="00B3329E">
        <w:rPr>
          <w:rFonts w:ascii="Tahoma" w:hAnsi="Tahoma" w:cs="Tahoma"/>
          <w:color w:val="000000" w:themeColor="text1"/>
        </w:rPr>
        <w:t xml:space="preserve"> index constituents and returns for stocks, indices and active funds </w:t>
      </w:r>
      <w:r w:rsidR="00123589" w:rsidRPr="00B3329E">
        <w:rPr>
          <w:rFonts w:ascii="Tahoma" w:hAnsi="Tahoma" w:cs="Tahoma"/>
          <w:color w:val="000000" w:themeColor="text1"/>
        </w:rPr>
        <w:t xml:space="preserve">were </w:t>
      </w:r>
      <w:r w:rsidRPr="00B3329E">
        <w:rPr>
          <w:rFonts w:ascii="Tahoma" w:hAnsi="Tahoma" w:cs="Tahoma"/>
          <w:color w:val="000000" w:themeColor="text1"/>
        </w:rPr>
        <w:t>obtained from Morning</w:t>
      </w:r>
      <w:r w:rsidR="00C8331E" w:rsidRPr="00B3329E">
        <w:rPr>
          <w:rFonts w:ascii="Tahoma" w:hAnsi="Tahoma" w:cs="Tahoma"/>
          <w:color w:val="000000" w:themeColor="text1"/>
        </w:rPr>
        <w:t>s</w:t>
      </w:r>
      <w:r w:rsidRPr="00B3329E">
        <w:rPr>
          <w:rFonts w:ascii="Tahoma" w:hAnsi="Tahoma" w:cs="Tahoma"/>
          <w:color w:val="000000" w:themeColor="text1"/>
        </w:rPr>
        <w:t>tar Direct.</w:t>
      </w:r>
    </w:p>
    <w:p w:rsidR="00EA6483" w:rsidRPr="00B3329E" w:rsidRDefault="00EA6483" w:rsidP="00EA6483">
      <w:pPr>
        <w:spacing w:after="0"/>
        <w:rPr>
          <w:rFonts w:ascii="Tahoma" w:hAnsi="Tahoma" w:cs="Tahoma"/>
          <w:color w:val="000000" w:themeColor="text1"/>
        </w:rPr>
      </w:pPr>
    </w:p>
    <w:p w:rsidR="007642AB" w:rsidRPr="00B3329E" w:rsidRDefault="007642AB" w:rsidP="00EA6483">
      <w:pPr>
        <w:spacing w:after="0"/>
        <w:rPr>
          <w:rFonts w:ascii="Tahoma" w:hAnsi="Tahoma" w:cs="Tahoma"/>
          <w:b/>
          <w:color w:val="000000" w:themeColor="text1"/>
        </w:rPr>
      </w:pPr>
      <w:r w:rsidRPr="00B3329E">
        <w:rPr>
          <w:rFonts w:ascii="Tahoma" w:hAnsi="Tahoma" w:cs="Tahoma"/>
          <w:color w:val="000000" w:themeColor="text1"/>
        </w:rPr>
        <w:t>All analysis was performed on a local currency basis to eliminate the effect of currency movements, which is an essential consideration for a study focused on global listed infrastructure and global equities.</w:t>
      </w:r>
    </w:p>
    <w:p w:rsidR="00110C6C" w:rsidRPr="00B3329E" w:rsidRDefault="00110C6C" w:rsidP="00EA6483">
      <w:pPr>
        <w:spacing w:after="0"/>
        <w:rPr>
          <w:rFonts w:ascii="Tahoma" w:hAnsi="Tahoma" w:cs="Tahoma"/>
          <w:color w:val="000000" w:themeColor="text1"/>
        </w:rPr>
      </w:pPr>
    </w:p>
    <w:p w:rsidR="00EA6483" w:rsidRPr="00B3329E" w:rsidRDefault="00EA6483" w:rsidP="00EA6483">
      <w:pPr>
        <w:spacing w:after="0"/>
        <w:rPr>
          <w:rFonts w:ascii="Tahoma" w:hAnsi="Tahoma" w:cs="Tahoma"/>
          <w:b/>
          <w:color w:val="000000" w:themeColor="text1"/>
          <w:u w:val="single"/>
        </w:rPr>
      </w:pPr>
    </w:p>
    <w:p w:rsidR="000974F4" w:rsidRDefault="000974F4">
      <w:pPr>
        <w:rPr>
          <w:rFonts w:ascii="Tahoma" w:eastAsiaTheme="majorEastAsia" w:hAnsi="Tahoma" w:cs="Tahoma"/>
          <w:b/>
          <w:color w:val="000000" w:themeColor="text1"/>
          <w:sz w:val="28"/>
          <w:szCs w:val="36"/>
        </w:rPr>
      </w:pPr>
      <w:bookmarkStart w:id="23" w:name="_Toc523311354"/>
      <w:r>
        <w:rPr>
          <w:rFonts w:cs="Tahoma"/>
          <w:color w:val="000000" w:themeColor="text1"/>
        </w:rPr>
        <w:br w:type="page"/>
      </w:r>
    </w:p>
    <w:p w:rsidR="00226E5F" w:rsidRPr="00B3329E" w:rsidRDefault="006A3E42" w:rsidP="002947E6">
      <w:pPr>
        <w:pStyle w:val="1"/>
        <w:rPr>
          <w:rFonts w:cs="Tahoma"/>
          <w:color w:val="000000" w:themeColor="text1"/>
        </w:rPr>
      </w:pPr>
      <w:r w:rsidRPr="00B3329E">
        <w:rPr>
          <w:rFonts w:cs="Tahoma"/>
          <w:color w:val="000000" w:themeColor="text1"/>
        </w:rPr>
        <w:lastRenderedPageBreak/>
        <w:t>5</w:t>
      </w:r>
      <w:r w:rsidR="002947E6" w:rsidRPr="00B3329E">
        <w:rPr>
          <w:rFonts w:cs="Tahoma"/>
          <w:color w:val="000000" w:themeColor="text1"/>
        </w:rPr>
        <w:t>.</w:t>
      </w:r>
      <w:r w:rsidR="00FF68FF" w:rsidRPr="00B3329E">
        <w:rPr>
          <w:rFonts w:cs="Tahoma"/>
          <w:color w:val="000000" w:themeColor="text1"/>
        </w:rPr>
        <w:t xml:space="preserve"> </w:t>
      </w:r>
      <w:r w:rsidR="00174F34" w:rsidRPr="00B3329E">
        <w:rPr>
          <w:rFonts w:cs="Tahoma"/>
          <w:color w:val="000000" w:themeColor="text1"/>
        </w:rPr>
        <w:t>Results</w:t>
      </w:r>
      <w:bookmarkEnd w:id="23"/>
    </w:p>
    <w:p w:rsidR="00CE50D4" w:rsidRPr="00B3329E" w:rsidRDefault="00CE50D4" w:rsidP="00EA6483">
      <w:pPr>
        <w:spacing w:after="0"/>
        <w:rPr>
          <w:rFonts w:ascii="Tahoma" w:hAnsi="Tahoma" w:cs="Tahoma"/>
          <w:color w:val="000000" w:themeColor="text1"/>
        </w:rPr>
      </w:pPr>
    </w:p>
    <w:p w:rsidR="00ED6486" w:rsidRPr="00B3329E" w:rsidRDefault="00ED6486" w:rsidP="00EA6483">
      <w:pPr>
        <w:spacing w:after="0"/>
        <w:rPr>
          <w:rFonts w:ascii="Tahoma" w:hAnsi="Tahoma" w:cs="Tahoma"/>
          <w:b/>
          <w:color w:val="000000" w:themeColor="text1"/>
        </w:rPr>
      </w:pPr>
    </w:p>
    <w:p w:rsidR="00A426E5" w:rsidRPr="00B3329E" w:rsidRDefault="00A426E5" w:rsidP="00EA6483">
      <w:pPr>
        <w:spacing w:after="0"/>
        <w:rPr>
          <w:rFonts w:ascii="Tahoma" w:hAnsi="Tahoma" w:cs="Tahoma"/>
          <w:b/>
          <w:color w:val="000000" w:themeColor="text1"/>
        </w:rPr>
      </w:pPr>
    </w:p>
    <w:p w:rsidR="00ED6486" w:rsidRPr="00B3329E" w:rsidRDefault="004C2C63" w:rsidP="00A426E5">
      <w:pPr>
        <w:pStyle w:val="2"/>
        <w:rPr>
          <w:rFonts w:cs="Tahoma"/>
          <w:color w:val="000000" w:themeColor="text1"/>
        </w:rPr>
      </w:pPr>
      <w:bookmarkStart w:id="24" w:name="_Toc523311355"/>
      <w:r>
        <w:rPr>
          <w:rFonts w:cs="Tahoma"/>
          <w:color w:val="000000" w:themeColor="text1"/>
        </w:rPr>
        <w:t>Descriptive s</w:t>
      </w:r>
      <w:r w:rsidR="007168EB" w:rsidRPr="00B3329E">
        <w:rPr>
          <w:rFonts w:cs="Tahoma"/>
          <w:color w:val="000000" w:themeColor="text1"/>
        </w:rPr>
        <w:t>tatistics</w:t>
      </w:r>
      <w:bookmarkEnd w:id="24"/>
    </w:p>
    <w:p w:rsidR="007168EB" w:rsidRPr="00B3329E" w:rsidRDefault="007168EB" w:rsidP="00EA6483">
      <w:pPr>
        <w:spacing w:after="0"/>
        <w:rPr>
          <w:rFonts w:ascii="Tahoma" w:hAnsi="Tahoma" w:cs="Tahoma"/>
          <w:b/>
          <w:color w:val="000000" w:themeColor="text1"/>
          <w:u w:val="single"/>
        </w:rPr>
      </w:pPr>
    </w:p>
    <w:p w:rsidR="00A426E5" w:rsidRPr="00B3329E" w:rsidRDefault="00A426E5" w:rsidP="00EA6483">
      <w:pPr>
        <w:spacing w:after="0"/>
        <w:rPr>
          <w:rFonts w:ascii="Tahoma" w:hAnsi="Tahoma" w:cs="Tahoma"/>
          <w:b/>
          <w:color w:val="000000" w:themeColor="text1"/>
          <w:u w:val="single"/>
        </w:rPr>
      </w:pPr>
    </w:p>
    <w:p w:rsidR="00A514F2" w:rsidRPr="00B3329E" w:rsidRDefault="00A514F2" w:rsidP="00A426E5">
      <w:pPr>
        <w:pStyle w:val="3"/>
        <w:rPr>
          <w:rFonts w:cs="Tahoma"/>
          <w:color w:val="000000" w:themeColor="text1"/>
          <w:szCs w:val="22"/>
        </w:rPr>
      </w:pPr>
      <w:bookmarkStart w:id="25" w:name="_Toc523311356"/>
      <w:r w:rsidRPr="00B3329E">
        <w:rPr>
          <w:rFonts w:cs="Tahoma"/>
          <w:color w:val="000000" w:themeColor="text1"/>
          <w:szCs w:val="22"/>
        </w:rPr>
        <w:t>Infrastructure stocks</w:t>
      </w:r>
      <w:bookmarkEnd w:id="25"/>
    </w:p>
    <w:p w:rsidR="00A514F2" w:rsidRPr="00B3329E" w:rsidRDefault="00A514F2" w:rsidP="00EA6483">
      <w:pPr>
        <w:spacing w:after="0"/>
        <w:rPr>
          <w:rFonts w:ascii="Tahoma" w:hAnsi="Tahoma" w:cs="Tahoma"/>
          <w:b/>
          <w:color w:val="000000" w:themeColor="text1"/>
          <w:u w:val="single"/>
        </w:rPr>
      </w:pPr>
    </w:p>
    <w:p w:rsidR="009B68F4" w:rsidRPr="00B3329E" w:rsidRDefault="00A514F2" w:rsidP="00EA6483">
      <w:pPr>
        <w:spacing w:after="0"/>
        <w:rPr>
          <w:rFonts w:ascii="Tahoma" w:hAnsi="Tahoma" w:cs="Tahoma"/>
          <w:color w:val="000000" w:themeColor="text1"/>
        </w:rPr>
      </w:pPr>
      <w:r w:rsidRPr="00B3329E">
        <w:rPr>
          <w:rFonts w:ascii="Tahoma" w:hAnsi="Tahoma" w:cs="Tahoma"/>
          <w:color w:val="000000" w:themeColor="text1"/>
        </w:rPr>
        <w:t xml:space="preserve">The universe of infrastructure stocks </w:t>
      </w:r>
      <w:r w:rsidR="009269A8" w:rsidRPr="00B3329E">
        <w:rPr>
          <w:rFonts w:ascii="Tahoma" w:hAnsi="Tahoma" w:cs="Tahoma"/>
          <w:color w:val="000000" w:themeColor="text1"/>
        </w:rPr>
        <w:t xml:space="preserve">has promising diversification potential.  </w:t>
      </w:r>
      <w:r w:rsidR="00B713C6" w:rsidRPr="00B3329E">
        <w:rPr>
          <w:rFonts w:ascii="Tahoma" w:hAnsi="Tahoma" w:cs="Tahoma"/>
          <w:color w:val="000000" w:themeColor="text1"/>
        </w:rPr>
        <w:t>F</w:t>
      </w:r>
      <w:r w:rsidR="009B68F4" w:rsidRPr="00B3329E">
        <w:rPr>
          <w:rFonts w:ascii="Tahoma" w:hAnsi="Tahoma" w:cs="Tahoma"/>
          <w:color w:val="000000" w:themeColor="text1"/>
        </w:rPr>
        <w:t>or the 20 year period</w:t>
      </w:r>
      <w:r w:rsidRPr="00B3329E">
        <w:rPr>
          <w:rFonts w:ascii="Tahoma" w:hAnsi="Tahoma" w:cs="Tahoma"/>
          <w:color w:val="000000" w:themeColor="text1"/>
        </w:rPr>
        <w:t xml:space="preserve">, </w:t>
      </w:r>
      <w:r w:rsidR="00B713C6" w:rsidRPr="00B3329E">
        <w:rPr>
          <w:rFonts w:ascii="Tahoma" w:hAnsi="Tahoma" w:cs="Tahoma"/>
          <w:color w:val="000000" w:themeColor="text1"/>
        </w:rPr>
        <w:t>there are 177 stocks within the infrastructure stocks dataset with returns history spanning this time period.  T</w:t>
      </w:r>
      <w:r w:rsidRPr="00B3329E">
        <w:rPr>
          <w:rFonts w:ascii="Tahoma" w:hAnsi="Tahoma" w:cs="Tahoma"/>
          <w:color w:val="000000" w:themeColor="text1"/>
        </w:rPr>
        <w:t xml:space="preserve">he average correlation with the MSCI world </w:t>
      </w:r>
      <w:r w:rsidR="006677EE" w:rsidRPr="00B3329E">
        <w:rPr>
          <w:rFonts w:ascii="Tahoma" w:hAnsi="Tahoma" w:cs="Tahoma"/>
          <w:color w:val="000000" w:themeColor="text1"/>
        </w:rPr>
        <w:t>is low</w:t>
      </w:r>
      <w:r w:rsidR="009B68F4" w:rsidRPr="00B3329E">
        <w:rPr>
          <w:rFonts w:ascii="Tahoma" w:hAnsi="Tahoma" w:cs="Tahoma"/>
          <w:color w:val="000000" w:themeColor="text1"/>
        </w:rPr>
        <w:t>, and close to negligible, at 0.32</w:t>
      </w:r>
      <w:r w:rsidR="006677EE" w:rsidRPr="00B3329E">
        <w:rPr>
          <w:rFonts w:ascii="Tahoma" w:hAnsi="Tahoma" w:cs="Tahoma"/>
          <w:color w:val="000000" w:themeColor="text1"/>
        </w:rPr>
        <w:t xml:space="preserve">.  The </w:t>
      </w:r>
      <w:r w:rsidR="00B713C6" w:rsidRPr="00B3329E">
        <w:rPr>
          <w:rFonts w:ascii="Tahoma" w:hAnsi="Tahoma" w:cs="Tahoma"/>
          <w:color w:val="000000" w:themeColor="text1"/>
        </w:rPr>
        <w:t xml:space="preserve">highest correlation in the sample is 0.68 and the lowest is -0.02 indicating that </w:t>
      </w:r>
      <w:r w:rsidR="009269A8" w:rsidRPr="00B3329E">
        <w:rPr>
          <w:rFonts w:ascii="Tahoma" w:hAnsi="Tahoma" w:cs="Tahoma"/>
          <w:color w:val="000000" w:themeColor="text1"/>
        </w:rPr>
        <w:t xml:space="preserve">whilst </w:t>
      </w:r>
      <w:r w:rsidR="00B713C6" w:rsidRPr="00B3329E">
        <w:rPr>
          <w:rFonts w:ascii="Tahoma" w:hAnsi="Tahoma" w:cs="Tahoma"/>
          <w:color w:val="000000" w:themeColor="text1"/>
        </w:rPr>
        <w:t>infrastructure stocks do n</w:t>
      </w:r>
      <w:r w:rsidR="00C22FBD" w:rsidRPr="00B3329E">
        <w:rPr>
          <w:rFonts w:ascii="Tahoma" w:hAnsi="Tahoma" w:cs="Tahoma"/>
          <w:color w:val="000000" w:themeColor="text1"/>
        </w:rPr>
        <w:t>ot provide negative correlation, no stocks in the sample</w:t>
      </w:r>
      <w:r w:rsidR="009269A8" w:rsidRPr="00B3329E">
        <w:rPr>
          <w:rFonts w:ascii="Tahoma" w:hAnsi="Tahoma" w:cs="Tahoma"/>
          <w:color w:val="000000" w:themeColor="text1"/>
        </w:rPr>
        <w:t xml:space="preserve"> had high correlation.  </w:t>
      </w:r>
    </w:p>
    <w:p w:rsidR="00EA6483" w:rsidRPr="00B3329E" w:rsidRDefault="00EA6483" w:rsidP="00EA6483">
      <w:pPr>
        <w:spacing w:after="0"/>
        <w:rPr>
          <w:rFonts w:ascii="Tahoma" w:hAnsi="Tahoma" w:cs="Tahoma"/>
          <w:color w:val="000000" w:themeColor="text1"/>
        </w:rPr>
      </w:pPr>
    </w:p>
    <w:p w:rsidR="009E5C48" w:rsidRPr="00B3329E" w:rsidRDefault="009269A8" w:rsidP="00EA6483">
      <w:pPr>
        <w:spacing w:after="0"/>
        <w:rPr>
          <w:rFonts w:ascii="Tahoma" w:hAnsi="Tahoma" w:cs="Tahoma"/>
          <w:color w:val="000000" w:themeColor="text1"/>
        </w:rPr>
      </w:pPr>
      <w:r w:rsidRPr="00B3329E">
        <w:rPr>
          <w:rFonts w:ascii="Tahoma" w:hAnsi="Tahoma" w:cs="Tahoma"/>
          <w:color w:val="000000" w:themeColor="text1"/>
        </w:rPr>
        <w:t xml:space="preserve">Over </w:t>
      </w:r>
      <w:r w:rsidR="00C22FBD" w:rsidRPr="00B3329E">
        <w:rPr>
          <w:rFonts w:ascii="Tahoma" w:hAnsi="Tahoma" w:cs="Tahoma"/>
          <w:color w:val="000000" w:themeColor="text1"/>
        </w:rPr>
        <w:t>the 10 year and 15 year</w:t>
      </w:r>
      <w:r w:rsidRPr="00B3329E">
        <w:rPr>
          <w:rFonts w:ascii="Tahoma" w:hAnsi="Tahoma" w:cs="Tahoma"/>
          <w:color w:val="000000" w:themeColor="text1"/>
        </w:rPr>
        <w:t xml:space="preserve"> periods the correlation </w:t>
      </w:r>
      <w:r w:rsidR="00C22FBD" w:rsidRPr="00B3329E">
        <w:rPr>
          <w:rFonts w:ascii="Tahoma" w:hAnsi="Tahoma" w:cs="Tahoma"/>
          <w:color w:val="000000" w:themeColor="text1"/>
        </w:rPr>
        <w:t>has increased</w:t>
      </w:r>
      <w:r w:rsidR="00F00E58" w:rsidRPr="00B3329E">
        <w:rPr>
          <w:rFonts w:ascii="Tahoma" w:hAnsi="Tahoma" w:cs="Tahoma"/>
          <w:color w:val="000000" w:themeColor="text1"/>
        </w:rPr>
        <w:t xml:space="preserve"> and </w:t>
      </w:r>
      <w:r w:rsidR="00C22FBD" w:rsidRPr="00B3329E">
        <w:rPr>
          <w:rFonts w:ascii="Tahoma" w:hAnsi="Tahoma" w:cs="Tahoma"/>
          <w:color w:val="000000" w:themeColor="text1"/>
        </w:rPr>
        <w:t xml:space="preserve">the upper end of the range sample </w:t>
      </w:r>
      <w:r w:rsidR="00F00E58" w:rsidRPr="00B3329E">
        <w:rPr>
          <w:rFonts w:ascii="Tahoma" w:hAnsi="Tahoma" w:cs="Tahoma"/>
          <w:color w:val="000000" w:themeColor="text1"/>
        </w:rPr>
        <w:t xml:space="preserve">has risen, but still </w:t>
      </w:r>
      <w:r w:rsidR="00C22FBD" w:rsidRPr="00B3329E">
        <w:rPr>
          <w:rFonts w:ascii="Tahoma" w:hAnsi="Tahoma" w:cs="Tahoma"/>
          <w:color w:val="000000" w:themeColor="text1"/>
        </w:rPr>
        <w:t>remains low</w:t>
      </w:r>
      <w:r w:rsidR="00F4774A" w:rsidRPr="00B3329E">
        <w:rPr>
          <w:rFonts w:ascii="Tahoma" w:hAnsi="Tahoma" w:cs="Tahoma"/>
          <w:color w:val="000000" w:themeColor="text1"/>
        </w:rPr>
        <w:t xml:space="preserve">.  The standard deviation remained stable and kurtosis and skewness </w:t>
      </w:r>
      <w:r w:rsidR="00C22FBD" w:rsidRPr="00B3329E">
        <w:rPr>
          <w:rFonts w:ascii="Tahoma" w:hAnsi="Tahoma" w:cs="Tahoma"/>
          <w:color w:val="000000" w:themeColor="text1"/>
        </w:rPr>
        <w:t>are</w:t>
      </w:r>
      <w:r w:rsidR="00F4774A" w:rsidRPr="00B3329E">
        <w:rPr>
          <w:rFonts w:ascii="Tahoma" w:hAnsi="Tahoma" w:cs="Tahoma"/>
          <w:color w:val="000000" w:themeColor="text1"/>
        </w:rPr>
        <w:t xml:space="preserve"> negli</w:t>
      </w:r>
      <w:r w:rsidR="002B675F" w:rsidRPr="00B3329E">
        <w:rPr>
          <w:rFonts w:ascii="Tahoma" w:hAnsi="Tahoma" w:cs="Tahoma"/>
          <w:color w:val="000000" w:themeColor="text1"/>
        </w:rPr>
        <w:t>gi</w:t>
      </w:r>
      <w:r w:rsidR="00F4774A" w:rsidRPr="00B3329E">
        <w:rPr>
          <w:rFonts w:ascii="Tahoma" w:hAnsi="Tahoma" w:cs="Tahoma"/>
          <w:color w:val="000000" w:themeColor="text1"/>
        </w:rPr>
        <w:t>ble</w:t>
      </w:r>
      <w:r w:rsidR="00C22FBD" w:rsidRPr="00B3329E">
        <w:rPr>
          <w:rFonts w:ascii="Tahoma" w:hAnsi="Tahoma" w:cs="Tahoma"/>
          <w:color w:val="000000" w:themeColor="text1"/>
        </w:rPr>
        <w:t xml:space="preserve"> across all periods.</w:t>
      </w:r>
    </w:p>
    <w:p w:rsidR="009E5C48" w:rsidRPr="00B3329E" w:rsidRDefault="009E5C48" w:rsidP="00EA6483">
      <w:pPr>
        <w:spacing w:after="0"/>
        <w:rPr>
          <w:rFonts w:ascii="Tahoma" w:hAnsi="Tahoma" w:cs="Tahoma"/>
          <w:color w:val="000000" w:themeColor="text1"/>
        </w:rPr>
      </w:pPr>
    </w:p>
    <w:p w:rsidR="00490BC9" w:rsidRDefault="00490BC9" w:rsidP="00EA6483">
      <w:pPr>
        <w:spacing w:after="0"/>
        <w:rPr>
          <w:rFonts w:ascii="Tahoma" w:hAnsi="Tahoma" w:cs="Tahoma"/>
          <w:color w:val="000000" w:themeColor="text1"/>
        </w:rPr>
      </w:pPr>
    </w:p>
    <w:p w:rsidR="00CA2821" w:rsidRDefault="00CA2821">
      <w:pPr>
        <w:rPr>
          <w:rFonts w:ascii="Tahoma" w:hAnsi="Tahoma"/>
          <w:bCs/>
          <w:sz w:val="18"/>
        </w:rPr>
      </w:pPr>
      <w:bookmarkStart w:id="26" w:name="_Toc523319879"/>
      <w:r>
        <w:br w:type="page"/>
      </w:r>
    </w:p>
    <w:p w:rsidR="00490BC9" w:rsidRPr="00CA2821" w:rsidRDefault="008938D1" w:rsidP="00CA2821">
      <w:pPr>
        <w:pStyle w:val="ab"/>
      </w:pPr>
      <w:r>
        <w:lastRenderedPageBreak/>
        <w:t xml:space="preserve">Figure </w:t>
      </w:r>
      <w:r w:rsidR="002B0630">
        <w:t>2</w:t>
      </w:r>
      <w:r w:rsidR="00490BC9">
        <w:t>: 20 year correlation of infrastructure stocks and global equities</w:t>
      </w:r>
      <w:bookmarkEnd w:id="26"/>
    </w:p>
    <w:p w:rsidR="009E5C48" w:rsidRPr="00B3329E" w:rsidRDefault="00EF3EB2" w:rsidP="00EA6483">
      <w:pPr>
        <w:spacing w:after="0"/>
        <w:jc w:val="center"/>
        <w:rPr>
          <w:rFonts w:ascii="Tahoma" w:hAnsi="Tahoma" w:cs="Tahoma"/>
          <w:color w:val="000000" w:themeColor="text1"/>
        </w:rPr>
      </w:pPr>
      <w:r w:rsidRPr="00B3329E">
        <w:rPr>
          <w:rFonts w:ascii="Tahoma" w:hAnsi="Tahoma" w:cs="Tahoma"/>
          <w:noProof/>
          <w:color w:val="000000" w:themeColor="text1"/>
          <w:lang w:val="en-US" w:eastAsia="zh-CN"/>
        </w:rPr>
        <w:drawing>
          <wp:inline distT="0" distB="0" distL="0" distR="0" wp14:anchorId="1CD30B0D" wp14:editId="675BA306">
            <wp:extent cx="5425440" cy="1988820"/>
            <wp:effectExtent l="0" t="0" r="381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A6483" w:rsidRDefault="00EA6483" w:rsidP="00EA6483">
      <w:pPr>
        <w:spacing w:after="0"/>
        <w:jc w:val="center"/>
        <w:rPr>
          <w:rFonts w:ascii="Tahoma" w:hAnsi="Tahoma" w:cs="Tahoma"/>
          <w:color w:val="000000" w:themeColor="text1"/>
        </w:rPr>
      </w:pPr>
    </w:p>
    <w:p w:rsidR="00AB0BAE" w:rsidRPr="00B3329E" w:rsidRDefault="00AB0BAE" w:rsidP="00EA6483">
      <w:pPr>
        <w:spacing w:after="0"/>
        <w:jc w:val="center"/>
        <w:rPr>
          <w:rFonts w:ascii="Tahoma" w:hAnsi="Tahoma" w:cs="Tahoma"/>
          <w:color w:val="000000" w:themeColor="text1"/>
        </w:rPr>
      </w:pPr>
    </w:p>
    <w:p w:rsidR="00490BC9" w:rsidRDefault="008938D1" w:rsidP="00E97A1D">
      <w:pPr>
        <w:pStyle w:val="ab"/>
        <w:rPr>
          <w:noProof/>
          <w:lang w:eastAsia="en-GB"/>
        </w:rPr>
      </w:pPr>
      <w:bookmarkStart w:id="27" w:name="_Toc523319880"/>
      <w:r>
        <w:t xml:space="preserve">Figure </w:t>
      </w:r>
      <w:r w:rsidR="002B0630">
        <w:t>3</w:t>
      </w:r>
      <w:r w:rsidR="00490BC9">
        <w:t>: 15 year correlation of infrastructure stocks and global equities</w:t>
      </w:r>
      <w:bookmarkEnd w:id="27"/>
      <w:r w:rsidR="00490BC9" w:rsidRPr="00B3329E">
        <w:rPr>
          <w:noProof/>
          <w:lang w:eastAsia="en-GB"/>
        </w:rPr>
        <w:t xml:space="preserve"> </w:t>
      </w:r>
    </w:p>
    <w:p w:rsidR="0096697F" w:rsidRDefault="009E5C48" w:rsidP="00490BC9">
      <w:pPr>
        <w:spacing w:after="0"/>
        <w:jc w:val="center"/>
        <w:rPr>
          <w:rFonts w:ascii="Tahoma" w:hAnsi="Tahoma" w:cs="Tahoma"/>
          <w:color w:val="000000" w:themeColor="text1"/>
        </w:rPr>
      </w:pPr>
      <w:r w:rsidRPr="00B3329E">
        <w:rPr>
          <w:rFonts w:ascii="Tahoma" w:hAnsi="Tahoma" w:cs="Tahoma"/>
          <w:noProof/>
          <w:color w:val="000000" w:themeColor="text1"/>
          <w:lang w:val="en-US" w:eastAsia="zh-CN"/>
        </w:rPr>
        <w:drawing>
          <wp:inline distT="0" distB="0" distL="0" distR="0" wp14:anchorId="418A0AF3" wp14:editId="67D2EA16">
            <wp:extent cx="5402580" cy="2042160"/>
            <wp:effectExtent l="0" t="0" r="762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2C63" w:rsidRDefault="004C2C63" w:rsidP="00EA6483">
      <w:pPr>
        <w:spacing w:after="0"/>
        <w:jc w:val="center"/>
        <w:rPr>
          <w:rFonts w:ascii="Tahoma" w:hAnsi="Tahoma" w:cs="Tahoma"/>
          <w:color w:val="000000" w:themeColor="text1"/>
        </w:rPr>
      </w:pPr>
    </w:p>
    <w:p w:rsidR="00AB0BAE" w:rsidRDefault="00AB0BAE" w:rsidP="00EA6483">
      <w:pPr>
        <w:spacing w:after="0"/>
        <w:jc w:val="center"/>
        <w:rPr>
          <w:rFonts w:ascii="Tahoma" w:hAnsi="Tahoma" w:cs="Tahoma"/>
          <w:color w:val="000000" w:themeColor="text1"/>
        </w:rPr>
      </w:pPr>
    </w:p>
    <w:p w:rsidR="00490BC9" w:rsidRPr="00AB0BAE" w:rsidRDefault="008938D1" w:rsidP="00AB0BAE">
      <w:pPr>
        <w:pStyle w:val="ab"/>
      </w:pPr>
      <w:bookmarkStart w:id="28" w:name="_Toc523319881"/>
      <w:r>
        <w:t xml:space="preserve">Figure </w:t>
      </w:r>
      <w:r w:rsidR="002B0630">
        <w:t>4</w:t>
      </w:r>
      <w:r w:rsidR="00490BC9">
        <w:t>: 10 year correlation of infrastructure stocks and global equities</w:t>
      </w:r>
      <w:bookmarkEnd w:id="28"/>
    </w:p>
    <w:p w:rsidR="00B713C6" w:rsidRPr="00B3329E" w:rsidRDefault="00351036" w:rsidP="00EA6483">
      <w:pPr>
        <w:spacing w:after="0"/>
        <w:jc w:val="center"/>
        <w:rPr>
          <w:rFonts w:ascii="Tahoma" w:hAnsi="Tahoma" w:cs="Tahoma"/>
          <w:color w:val="000000" w:themeColor="text1"/>
        </w:rPr>
      </w:pPr>
      <w:r w:rsidRPr="00B3329E">
        <w:rPr>
          <w:rFonts w:ascii="Tahoma" w:hAnsi="Tahoma" w:cs="Tahoma"/>
          <w:noProof/>
          <w:color w:val="000000" w:themeColor="text1"/>
          <w:lang w:val="en-US" w:eastAsia="zh-CN"/>
        </w:rPr>
        <w:drawing>
          <wp:inline distT="0" distB="0" distL="0" distR="0" wp14:anchorId="216B37B8" wp14:editId="29454CA3">
            <wp:extent cx="5356860" cy="1859280"/>
            <wp:effectExtent l="0" t="0" r="1524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1036" w:rsidRPr="00B3329E" w:rsidRDefault="00351036" w:rsidP="00EA6483">
      <w:pPr>
        <w:spacing w:after="0"/>
        <w:rPr>
          <w:rFonts w:ascii="Tahoma" w:hAnsi="Tahoma" w:cs="Tahoma"/>
          <w:color w:val="000000" w:themeColor="text1"/>
        </w:rPr>
      </w:pPr>
    </w:p>
    <w:p w:rsidR="00351036" w:rsidRPr="00B3329E" w:rsidRDefault="00351036" w:rsidP="00EA6483">
      <w:pPr>
        <w:spacing w:after="0"/>
        <w:rPr>
          <w:rFonts w:ascii="Tahoma" w:hAnsi="Tahoma" w:cs="Tahoma"/>
          <w:color w:val="000000" w:themeColor="text1"/>
        </w:rPr>
      </w:pPr>
    </w:p>
    <w:p w:rsidR="00532B6A" w:rsidRPr="00B3329E" w:rsidRDefault="00A514F2" w:rsidP="00EA6483">
      <w:pPr>
        <w:spacing w:after="0"/>
        <w:rPr>
          <w:rFonts w:ascii="Tahoma" w:hAnsi="Tahoma" w:cs="Tahoma"/>
          <w:color w:val="000000" w:themeColor="text1"/>
        </w:rPr>
      </w:pPr>
      <w:r w:rsidRPr="00B3329E">
        <w:rPr>
          <w:rFonts w:ascii="Tahoma" w:hAnsi="Tahoma" w:cs="Tahoma"/>
          <w:color w:val="000000" w:themeColor="text1"/>
        </w:rPr>
        <w:t>As d</w:t>
      </w:r>
      <w:r w:rsidR="00580C38" w:rsidRPr="00B3329E">
        <w:rPr>
          <w:rFonts w:ascii="Tahoma" w:hAnsi="Tahoma" w:cs="Tahoma"/>
          <w:color w:val="000000" w:themeColor="text1"/>
        </w:rPr>
        <w:t>escribe</w:t>
      </w:r>
      <w:r w:rsidRPr="00B3329E">
        <w:rPr>
          <w:rFonts w:ascii="Tahoma" w:hAnsi="Tahoma" w:cs="Tahoma"/>
          <w:color w:val="000000" w:themeColor="text1"/>
        </w:rPr>
        <w:t xml:space="preserve">d earlier, listed infrastructure stocks do not have their own sector </w:t>
      </w:r>
      <w:r w:rsidR="00580C38" w:rsidRPr="00B3329E">
        <w:rPr>
          <w:rFonts w:ascii="Tahoma" w:hAnsi="Tahoma" w:cs="Tahoma"/>
          <w:color w:val="000000" w:themeColor="text1"/>
        </w:rPr>
        <w:t xml:space="preserve">classifications but are found across a </w:t>
      </w:r>
      <w:r w:rsidR="00F00E58" w:rsidRPr="00B3329E">
        <w:rPr>
          <w:rFonts w:ascii="Tahoma" w:hAnsi="Tahoma" w:cs="Tahoma"/>
          <w:color w:val="000000" w:themeColor="text1"/>
        </w:rPr>
        <w:t xml:space="preserve">range of </w:t>
      </w:r>
      <w:r w:rsidR="00580C38" w:rsidRPr="00B3329E">
        <w:rPr>
          <w:rFonts w:ascii="Tahoma" w:hAnsi="Tahoma" w:cs="Tahoma"/>
          <w:color w:val="000000" w:themeColor="text1"/>
        </w:rPr>
        <w:t>sectors.</w:t>
      </w:r>
      <w:r w:rsidR="00F00E58" w:rsidRPr="00B3329E">
        <w:rPr>
          <w:rFonts w:ascii="Tahoma" w:hAnsi="Tahoma" w:cs="Tahoma"/>
          <w:color w:val="000000" w:themeColor="text1"/>
        </w:rPr>
        <w:t xml:space="preserve"> T</w:t>
      </w:r>
      <w:r w:rsidR="00F4774A" w:rsidRPr="00B3329E">
        <w:rPr>
          <w:rFonts w:ascii="Tahoma" w:hAnsi="Tahoma" w:cs="Tahoma"/>
          <w:color w:val="000000" w:themeColor="text1"/>
        </w:rPr>
        <w:t xml:space="preserve">his study explores </w:t>
      </w:r>
      <w:r w:rsidR="00F00E58" w:rsidRPr="00B3329E">
        <w:rPr>
          <w:rFonts w:ascii="Tahoma" w:hAnsi="Tahoma" w:cs="Tahoma"/>
          <w:color w:val="000000" w:themeColor="text1"/>
        </w:rPr>
        <w:t xml:space="preserve">the differences that are present across infrastructure stocks when they are grouped by their </w:t>
      </w:r>
      <w:r w:rsidRPr="00B3329E">
        <w:rPr>
          <w:rFonts w:ascii="Tahoma" w:hAnsi="Tahoma" w:cs="Tahoma"/>
          <w:color w:val="000000" w:themeColor="text1"/>
        </w:rPr>
        <w:t>sec</w:t>
      </w:r>
      <w:r w:rsidR="00F00E58" w:rsidRPr="00B3329E">
        <w:rPr>
          <w:rFonts w:ascii="Tahoma" w:hAnsi="Tahoma" w:cs="Tahoma"/>
          <w:color w:val="000000" w:themeColor="text1"/>
        </w:rPr>
        <w:t>tor to further explore the diversification p</w:t>
      </w:r>
      <w:r w:rsidR="001702B3" w:rsidRPr="00B3329E">
        <w:rPr>
          <w:rFonts w:ascii="Tahoma" w:hAnsi="Tahoma" w:cs="Tahoma"/>
          <w:color w:val="000000" w:themeColor="text1"/>
        </w:rPr>
        <w:t>otential</w:t>
      </w:r>
      <w:r w:rsidR="00F00E58" w:rsidRPr="00B3329E">
        <w:rPr>
          <w:rFonts w:ascii="Tahoma" w:hAnsi="Tahoma" w:cs="Tahoma"/>
          <w:color w:val="000000" w:themeColor="text1"/>
        </w:rPr>
        <w:t xml:space="preserve"> and</w:t>
      </w:r>
      <w:r w:rsidR="001702B3" w:rsidRPr="00B3329E">
        <w:rPr>
          <w:rFonts w:ascii="Tahoma" w:hAnsi="Tahoma" w:cs="Tahoma"/>
          <w:color w:val="000000" w:themeColor="text1"/>
        </w:rPr>
        <w:t xml:space="preserve"> identify</w:t>
      </w:r>
      <w:r w:rsidR="00F00E58" w:rsidRPr="00B3329E">
        <w:rPr>
          <w:rFonts w:ascii="Tahoma" w:hAnsi="Tahoma" w:cs="Tahoma"/>
          <w:color w:val="000000" w:themeColor="text1"/>
        </w:rPr>
        <w:t xml:space="preserve"> heterogeneity.  </w:t>
      </w:r>
      <w:r w:rsidR="001702B3" w:rsidRPr="00B3329E">
        <w:rPr>
          <w:rFonts w:ascii="Tahoma" w:hAnsi="Tahoma" w:cs="Tahoma"/>
          <w:color w:val="000000" w:themeColor="text1"/>
        </w:rPr>
        <w:t>For transparency, each calculation is accompanied by the count of stocks per</w:t>
      </w:r>
      <w:r w:rsidR="00580C38" w:rsidRPr="00B3329E">
        <w:rPr>
          <w:rFonts w:ascii="Tahoma" w:hAnsi="Tahoma" w:cs="Tahoma"/>
          <w:color w:val="000000" w:themeColor="text1"/>
        </w:rPr>
        <w:t xml:space="preserve"> </w:t>
      </w:r>
      <w:r w:rsidR="001702B3" w:rsidRPr="00B3329E">
        <w:rPr>
          <w:rFonts w:ascii="Tahoma" w:hAnsi="Tahoma" w:cs="Tahoma"/>
          <w:color w:val="000000" w:themeColor="text1"/>
        </w:rPr>
        <w:t>sector to highlight cases they are small (Financial Services and Healthcare) as this may reduce the reliability of results.</w:t>
      </w:r>
    </w:p>
    <w:p w:rsidR="001702B3" w:rsidRPr="00B3329E" w:rsidRDefault="001702B3" w:rsidP="00EA6483">
      <w:pPr>
        <w:spacing w:after="0"/>
        <w:rPr>
          <w:rFonts w:ascii="Tahoma" w:hAnsi="Tahoma" w:cs="Tahoma"/>
          <w:color w:val="000000" w:themeColor="text1"/>
        </w:rPr>
      </w:pPr>
    </w:p>
    <w:p w:rsidR="00EA6483" w:rsidRPr="00B3329E" w:rsidRDefault="00532B6A" w:rsidP="00EA6483">
      <w:pPr>
        <w:spacing w:after="0"/>
        <w:rPr>
          <w:rFonts w:ascii="Tahoma" w:hAnsi="Tahoma" w:cs="Tahoma"/>
          <w:color w:val="000000" w:themeColor="text1"/>
        </w:rPr>
      </w:pPr>
      <w:r w:rsidRPr="00B3329E">
        <w:rPr>
          <w:rFonts w:ascii="Tahoma" w:hAnsi="Tahoma" w:cs="Tahoma"/>
          <w:color w:val="000000" w:themeColor="text1"/>
        </w:rPr>
        <w:t>The co</w:t>
      </w:r>
      <w:r w:rsidR="001702B3" w:rsidRPr="00B3329E">
        <w:rPr>
          <w:rFonts w:ascii="Tahoma" w:hAnsi="Tahoma" w:cs="Tahoma"/>
          <w:color w:val="000000" w:themeColor="text1"/>
        </w:rPr>
        <w:t>unt</w:t>
      </w:r>
      <w:r w:rsidRPr="00B3329E">
        <w:rPr>
          <w:rFonts w:ascii="Tahoma" w:hAnsi="Tahoma" w:cs="Tahoma"/>
          <w:color w:val="000000" w:themeColor="text1"/>
        </w:rPr>
        <w:t xml:space="preserve"> infra</w:t>
      </w:r>
      <w:r w:rsidR="00C31883" w:rsidRPr="00B3329E">
        <w:rPr>
          <w:rFonts w:ascii="Tahoma" w:hAnsi="Tahoma" w:cs="Tahoma"/>
          <w:color w:val="000000" w:themeColor="text1"/>
        </w:rPr>
        <w:t>structure</w:t>
      </w:r>
      <w:r w:rsidRPr="00B3329E">
        <w:rPr>
          <w:rFonts w:ascii="Tahoma" w:hAnsi="Tahoma" w:cs="Tahoma"/>
          <w:color w:val="000000" w:themeColor="text1"/>
        </w:rPr>
        <w:t xml:space="preserve"> stocks </w:t>
      </w:r>
      <w:r w:rsidR="001702B3" w:rsidRPr="00B3329E">
        <w:rPr>
          <w:rFonts w:ascii="Tahoma" w:hAnsi="Tahoma" w:cs="Tahoma"/>
          <w:color w:val="000000" w:themeColor="text1"/>
        </w:rPr>
        <w:t xml:space="preserve">in table </w:t>
      </w:r>
      <w:r w:rsidR="00593921">
        <w:rPr>
          <w:rFonts w:ascii="Tahoma" w:hAnsi="Tahoma" w:cs="Tahoma"/>
          <w:color w:val="000000" w:themeColor="text1"/>
        </w:rPr>
        <w:t>3</w:t>
      </w:r>
      <w:r w:rsidRPr="00B3329E">
        <w:rPr>
          <w:rFonts w:ascii="Tahoma" w:hAnsi="Tahoma" w:cs="Tahoma"/>
          <w:color w:val="000000" w:themeColor="text1"/>
        </w:rPr>
        <w:t xml:space="preserve"> shows the most </w:t>
      </w:r>
      <w:r w:rsidR="001702B3" w:rsidRPr="00B3329E">
        <w:rPr>
          <w:rFonts w:ascii="Tahoma" w:hAnsi="Tahoma" w:cs="Tahoma"/>
          <w:color w:val="000000" w:themeColor="text1"/>
        </w:rPr>
        <w:t xml:space="preserve">densely </w:t>
      </w:r>
      <w:r w:rsidRPr="00B3329E">
        <w:rPr>
          <w:rFonts w:ascii="Tahoma" w:hAnsi="Tahoma" w:cs="Tahoma"/>
          <w:color w:val="000000" w:themeColor="text1"/>
        </w:rPr>
        <w:t>populated sectors are utilities, industrials, technology and basic materials.  Over the 20 year time period, the average correlations of these sectors varied considerably from 0.22 for utilities to 0.44 for industrials.</w:t>
      </w:r>
      <w:r w:rsidR="00926475" w:rsidRPr="00B3329E">
        <w:rPr>
          <w:rFonts w:ascii="Tahoma" w:hAnsi="Tahoma" w:cs="Tahoma"/>
          <w:color w:val="000000" w:themeColor="text1"/>
        </w:rPr>
        <w:t xml:space="preserve">  </w:t>
      </w:r>
    </w:p>
    <w:p w:rsidR="00EA6483" w:rsidRPr="00B3329E" w:rsidRDefault="00EA6483" w:rsidP="00EA6483">
      <w:pPr>
        <w:spacing w:after="0"/>
        <w:rPr>
          <w:rFonts w:ascii="Tahoma" w:hAnsi="Tahoma" w:cs="Tahoma"/>
          <w:color w:val="000000" w:themeColor="text1"/>
        </w:rPr>
      </w:pPr>
    </w:p>
    <w:p w:rsidR="00532B6A" w:rsidRPr="00B3329E" w:rsidRDefault="00926475" w:rsidP="00EA6483">
      <w:pPr>
        <w:spacing w:after="0"/>
        <w:rPr>
          <w:rFonts w:ascii="Tahoma" w:hAnsi="Tahoma" w:cs="Tahoma"/>
          <w:color w:val="000000" w:themeColor="text1"/>
        </w:rPr>
      </w:pPr>
      <w:r w:rsidRPr="00B3329E">
        <w:rPr>
          <w:rFonts w:ascii="Tahoma" w:hAnsi="Tahoma" w:cs="Tahoma"/>
          <w:color w:val="000000" w:themeColor="text1"/>
        </w:rPr>
        <w:t>This indicates that there is heterogeneity across infrastructure stocks</w:t>
      </w:r>
      <w:r w:rsidR="001702B3" w:rsidRPr="00B3329E">
        <w:rPr>
          <w:rFonts w:ascii="Tahoma" w:hAnsi="Tahoma" w:cs="Tahoma"/>
          <w:color w:val="000000" w:themeColor="text1"/>
        </w:rPr>
        <w:t xml:space="preserve"> when they are grouped into their respective sectors</w:t>
      </w:r>
      <w:r w:rsidRPr="00B3329E">
        <w:rPr>
          <w:rFonts w:ascii="Tahoma" w:hAnsi="Tahoma" w:cs="Tahoma"/>
          <w:color w:val="000000" w:themeColor="text1"/>
        </w:rPr>
        <w:t>.</w:t>
      </w:r>
      <w:r w:rsidR="00EA6483" w:rsidRPr="00B3329E">
        <w:rPr>
          <w:rFonts w:ascii="Tahoma" w:hAnsi="Tahoma" w:cs="Tahoma"/>
          <w:color w:val="000000" w:themeColor="text1"/>
        </w:rPr>
        <w:t xml:space="preserve">  </w:t>
      </w:r>
      <w:r w:rsidR="00F4774A" w:rsidRPr="00B3329E">
        <w:rPr>
          <w:rFonts w:ascii="Tahoma" w:hAnsi="Tahoma" w:cs="Tahoma"/>
          <w:color w:val="000000" w:themeColor="text1"/>
        </w:rPr>
        <w:t xml:space="preserve">Every sector, except financial services, has delivered low or negligible correlation over the each of the three time periods. </w:t>
      </w:r>
    </w:p>
    <w:p w:rsidR="00EA6483" w:rsidRPr="00B3329E" w:rsidRDefault="00EA6483" w:rsidP="00EA6483">
      <w:pPr>
        <w:spacing w:after="0"/>
        <w:rPr>
          <w:rFonts w:ascii="Tahoma" w:hAnsi="Tahoma" w:cs="Tahoma"/>
          <w:color w:val="000000" w:themeColor="text1"/>
        </w:rPr>
      </w:pPr>
    </w:p>
    <w:p w:rsidR="00AB0BAE" w:rsidRPr="00B3329E" w:rsidRDefault="00AB0BAE" w:rsidP="00EA6483">
      <w:pPr>
        <w:spacing w:after="0"/>
        <w:rPr>
          <w:rFonts w:ascii="Tahoma" w:hAnsi="Tahoma" w:cs="Tahoma"/>
          <w:color w:val="000000" w:themeColor="text1"/>
        </w:rPr>
      </w:pPr>
    </w:p>
    <w:p w:rsidR="00532B6A" w:rsidRPr="00B3329E" w:rsidRDefault="00A514F2" w:rsidP="00EA6483">
      <w:pPr>
        <w:spacing w:after="0"/>
        <w:rPr>
          <w:rFonts w:ascii="Tahoma" w:hAnsi="Tahoma" w:cs="Tahoma"/>
          <w:color w:val="000000" w:themeColor="text1"/>
        </w:rPr>
      </w:pPr>
      <w:r w:rsidRPr="00B3329E">
        <w:rPr>
          <w:rFonts w:ascii="Tahoma" w:hAnsi="Tahoma" w:cs="Tahoma"/>
          <w:color w:val="000000" w:themeColor="text1"/>
        </w:rPr>
        <w:t>These results indicate that</w:t>
      </w:r>
      <w:r w:rsidR="00232730" w:rsidRPr="00B3329E">
        <w:rPr>
          <w:rFonts w:ascii="Tahoma" w:hAnsi="Tahoma" w:cs="Tahoma"/>
          <w:color w:val="000000" w:themeColor="text1"/>
        </w:rPr>
        <w:t xml:space="preserve"> whilst</w:t>
      </w:r>
      <w:r w:rsidRPr="00B3329E">
        <w:rPr>
          <w:rFonts w:ascii="Tahoma" w:hAnsi="Tahoma" w:cs="Tahoma"/>
          <w:color w:val="000000" w:themeColor="text1"/>
        </w:rPr>
        <w:t xml:space="preserve"> there is scope for diversification by investing </w:t>
      </w:r>
      <w:r w:rsidR="00232730" w:rsidRPr="00B3329E">
        <w:rPr>
          <w:rFonts w:ascii="Tahoma" w:hAnsi="Tahoma" w:cs="Tahoma"/>
          <w:color w:val="000000" w:themeColor="text1"/>
        </w:rPr>
        <w:t>across</w:t>
      </w:r>
      <w:r w:rsidRPr="00B3329E">
        <w:rPr>
          <w:rFonts w:ascii="Tahoma" w:hAnsi="Tahoma" w:cs="Tahoma"/>
          <w:color w:val="000000" w:themeColor="text1"/>
        </w:rPr>
        <w:t xml:space="preserve"> the </w:t>
      </w:r>
      <w:r w:rsidR="00232730" w:rsidRPr="00B3329E">
        <w:rPr>
          <w:rFonts w:ascii="Tahoma" w:hAnsi="Tahoma" w:cs="Tahoma"/>
          <w:color w:val="000000" w:themeColor="text1"/>
        </w:rPr>
        <w:t>universe of infrastructure</w:t>
      </w:r>
      <w:r w:rsidRPr="00B3329E">
        <w:rPr>
          <w:rFonts w:ascii="Tahoma" w:hAnsi="Tahoma" w:cs="Tahoma"/>
          <w:color w:val="000000" w:themeColor="text1"/>
        </w:rPr>
        <w:t xml:space="preserve"> stocks</w:t>
      </w:r>
      <w:r w:rsidR="00232730" w:rsidRPr="00B3329E">
        <w:rPr>
          <w:rFonts w:ascii="Tahoma" w:hAnsi="Tahoma" w:cs="Tahoma"/>
          <w:color w:val="000000" w:themeColor="text1"/>
        </w:rPr>
        <w:t>, this can be improved by focusing on stocks within the utilities sector</w:t>
      </w:r>
      <w:r w:rsidR="00A14B1E" w:rsidRPr="00B3329E">
        <w:rPr>
          <w:rFonts w:ascii="Tahoma" w:hAnsi="Tahoma" w:cs="Tahoma"/>
          <w:color w:val="000000" w:themeColor="text1"/>
        </w:rPr>
        <w:t xml:space="preserve">.  </w:t>
      </w:r>
    </w:p>
    <w:p w:rsidR="00174F17" w:rsidRPr="00B3329E" w:rsidRDefault="00174F17" w:rsidP="00EA6483">
      <w:pPr>
        <w:spacing w:after="0"/>
        <w:rPr>
          <w:rFonts w:ascii="Tahoma" w:hAnsi="Tahoma" w:cs="Tahoma"/>
          <w:color w:val="000000" w:themeColor="text1"/>
        </w:rPr>
      </w:pPr>
    </w:p>
    <w:p w:rsidR="00174F17" w:rsidRPr="00B3329E" w:rsidRDefault="00232730" w:rsidP="00EA6483">
      <w:pPr>
        <w:spacing w:after="0"/>
        <w:rPr>
          <w:rFonts w:ascii="Tahoma" w:hAnsi="Tahoma" w:cs="Tahoma"/>
          <w:color w:val="000000" w:themeColor="text1"/>
        </w:rPr>
      </w:pPr>
      <w:r w:rsidRPr="00B3329E">
        <w:rPr>
          <w:rFonts w:ascii="Tahoma" w:hAnsi="Tahoma" w:cs="Tahoma"/>
          <w:color w:val="000000" w:themeColor="text1"/>
        </w:rPr>
        <w:t xml:space="preserve">To determine the effect of overlap with the MSCI World, </w:t>
      </w:r>
      <w:r w:rsidR="00174F17" w:rsidRPr="00B3329E">
        <w:rPr>
          <w:rFonts w:ascii="Tahoma" w:hAnsi="Tahoma" w:cs="Tahoma"/>
          <w:color w:val="000000" w:themeColor="text1"/>
        </w:rPr>
        <w:t xml:space="preserve">the infrastructure stocks </w:t>
      </w:r>
      <w:r w:rsidRPr="00B3329E">
        <w:rPr>
          <w:rFonts w:ascii="Tahoma" w:hAnsi="Tahoma" w:cs="Tahoma"/>
          <w:color w:val="000000" w:themeColor="text1"/>
        </w:rPr>
        <w:t xml:space="preserve">can be </w:t>
      </w:r>
      <w:r w:rsidR="00174F17" w:rsidRPr="00B3329E">
        <w:rPr>
          <w:rFonts w:ascii="Tahoma" w:hAnsi="Tahoma" w:cs="Tahoma"/>
          <w:color w:val="000000" w:themeColor="text1"/>
        </w:rPr>
        <w:t xml:space="preserve">split into two cohorts: those that are also owned by the MSCI World and those that are not.  In </w:t>
      </w:r>
      <w:r w:rsidR="00593921">
        <w:rPr>
          <w:rFonts w:ascii="Tahoma" w:hAnsi="Tahoma" w:cs="Tahoma"/>
          <w:color w:val="000000" w:themeColor="text1"/>
        </w:rPr>
        <w:t>T</w:t>
      </w:r>
      <w:r w:rsidR="00174F17" w:rsidRPr="00B3329E">
        <w:rPr>
          <w:rFonts w:ascii="Tahoma" w:hAnsi="Tahoma" w:cs="Tahoma"/>
          <w:color w:val="000000" w:themeColor="text1"/>
        </w:rPr>
        <w:t xml:space="preserve">able </w:t>
      </w:r>
      <w:r w:rsidR="00593921">
        <w:rPr>
          <w:rFonts w:ascii="Tahoma" w:hAnsi="Tahoma" w:cs="Tahoma"/>
          <w:color w:val="000000" w:themeColor="text1"/>
        </w:rPr>
        <w:t>4</w:t>
      </w:r>
      <w:r w:rsidR="00174F17" w:rsidRPr="00B3329E">
        <w:rPr>
          <w:rFonts w:ascii="Tahoma" w:hAnsi="Tahoma" w:cs="Tahoma"/>
          <w:color w:val="000000" w:themeColor="text1"/>
        </w:rPr>
        <w:t>, the correlations for the sample of infrastructure stocks that are also constituents in the M</w:t>
      </w:r>
      <w:r w:rsidR="00406DDB" w:rsidRPr="00B3329E">
        <w:rPr>
          <w:rFonts w:ascii="Tahoma" w:hAnsi="Tahoma" w:cs="Tahoma"/>
          <w:color w:val="000000" w:themeColor="text1"/>
        </w:rPr>
        <w:t>SCI World.  We can see that for each</w:t>
      </w:r>
      <w:r w:rsidR="00174F17" w:rsidRPr="00B3329E">
        <w:rPr>
          <w:rFonts w:ascii="Tahoma" w:hAnsi="Tahoma" w:cs="Tahoma"/>
          <w:color w:val="000000" w:themeColor="text1"/>
        </w:rPr>
        <w:t xml:space="preserve"> time period</w:t>
      </w:r>
      <w:r w:rsidRPr="00B3329E">
        <w:rPr>
          <w:rFonts w:ascii="Tahoma" w:hAnsi="Tahoma" w:cs="Tahoma"/>
          <w:color w:val="000000" w:themeColor="text1"/>
        </w:rPr>
        <w:t xml:space="preserve"> </w:t>
      </w:r>
      <w:r w:rsidR="00174F17" w:rsidRPr="00B3329E">
        <w:rPr>
          <w:rFonts w:ascii="Tahoma" w:hAnsi="Tahoma" w:cs="Tahoma"/>
          <w:color w:val="000000" w:themeColor="text1"/>
        </w:rPr>
        <w:t xml:space="preserve">there is low correlation with the MSCI World despite being present within the index.  However, in </w:t>
      </w:r>
      <w:r w:rsidR="00593921">
        <w:rPr>
          <w:rFonts w:ascii="Tahoma" w:hAnsi="Tahoma" w:cs="Tahoma"/>
          <w:color w:val="000000" w:themeColor="text1"/>
        </w:rPr>
        <w:t>Table</w:t>
      </w:r>
      <w:r w:rsidR="00174F17" w:rsidRPr="00B3329E">
        <w:rPr>
          <w:rFonts w:ascii="Tahoma" w:hAnsi="Tahoma" w:cs="Tahoma"/>
          <w:color w:val="000000" w:themeColor="text1"/>
        </w:rPr>
        <w:t xml:space="preserve"> </w:t>
      </w:r>
      <w:r w:rsidR="00593921">
        <w:rPr>
          <w:rFonts w:ascii="Tahoma" w:hAnsi="Tahoma" w:cs="Tahoma"/>
          <w:color w:val="000000" w:themeColor="text1"/>
        </w:rPr>
        <w:t>5</w:t>
      </w:r>
      <w:r w:rsidR="00174F17" w:rsidRPr="00B3329E">
        <w:rPr>
          <w:rFonts w:ascii="Tahoma" w:hAnsi="Tahoma" w:cs="Tahoma"/>
          <w:color w:val="000000" w:themeColor="text1"/>
        </w:rPr>
        <w:t xml:space="preserve"> </w:t>
      </w:r>
      <w:r w:rsidRPr="00B3329E">
        <w:rPr>
          <w:rFonts w:ascii="Tahoma" w:hAnsi="Tahoma" w:cs="Tahoma"/>
          <w:color w:val="000000" w:themeColor="text1"/>
        </w:rPr>
        <w:t xml:space="preserve">it is shown that </w:t>
      </w:r>
      <w:r w:rsidR="00174F17" w:rsidRPr="00B3329E">
        <w:rPr>
          <w:rFonts w:ascii="Tahoma" w:hAnsi="Tahoma" w:cs="Tahoma"/>
          <w:color w:val="000000" w:themeColor="text1"/>
        </w:rPr>
        <w:t xml:space="preserve">the sample of infrastructure stocks that are not </w:t>
      </w:r>
      <w:r w:rsidRPr="00B3329E">
        <w:rPr>
          <w:rFonts w:ascii="Tahoma" w:hAnsi="Tahoma" w:cs="Tahoma"/>
          <w:color w:val="000000" w:themeColor="text1"/>
        </w:rPr>
        <w:t>constituents in the MSCI World has an even lower mean correlation and standard deviation in each time period</w:t>
      </w:r>
      <w:r w:rsidR="00EA79FF" w:rsidRPr="00B3329E">
        <w:rPr>
          <w:rFonts w:ascii="Tahoma" w:hAnsi="Tahoma" w:cs="Tahoma"/>
          <w:color w:val="000000" w:themeColor="text1"/>
        </w:rPr>
        <w:t xml:space="preserve">.  </w:t>
      </w:r>
      <w:r w:rsidRPr="00B3329E">
        <w:rPr>
          <w:rFonts w:ascii="Tahoma" w:hAnsi="Tahoma" w:cs="Tahoma"/>
          <w:color w:val="000000" w:themeColor="text1"/>
        </w:rPr>
        <w:t xml:space="preserve">For both sets, skewness and kurtosis are negligible.  The analysis of these two cohorts </w:t>
      </w:r>
      <w:r w:rsidR="00EA79FF" w:rsidRPr="00B3329E">
        <w:rPr>
          <w:rFonts w:ascii="Tahoma" w:hAnsi="Tahoma" w:cs="Tahoma"/>
          <w:color w:val="000000" w:themeColor="text1"/>
        </w:rPr>
        <w:t xml:space="preserve">confirms that infrastructure stocks that are not </w:t>
      </w:r>
      <w:r w:rsidRPr="00B3329E">
        <w:rPr>
          <w:rFonts w:ascii="Tahoma" w:hAnsi="Tahoma" w:cs="Tahoma"/>
          <w:color w:val="000000" w:themeColor="text1"/>
        </w:rPr>
        <w:t>constituents of</w:t>
      </w:r>
      <w:r w:rsidR="00EA79FF" w:rsidRPr="00B3329E">
        <w:rPr>
          <w:rFonts w:ascii="Tahoma" w:hAnsi="Tahoma" w:cs="Tahoma"/>
          <w:color w:val="000000" w:themeColor="text1"/>
        </w:rPr>
        <w:t xml:space="preserve"> the MSCI World </w:t>
      </w:r>
      <w:r w:rsidR="00406DDB" w:rsidRPr="00B3329E">
        <w:rPr>
          <w:rFonts w:ascii="Tahoma" w:hAnsi="Tahoma" w:cs="Tahoma"/>
          <w:color w:val="000000" w:themeColor="text1"/>
        </w:rPr>
        <w:t xml:space="preserve">had </w:t>
      </w:r>
      <w:r w:rsidR="00EA79FF" w:rsidRPr="00B3329E">
        <w:rPr>
          <w:rFonts w:ascii="Tahoma" w:hAnsi="Tahoma" w:cs="Tahoma"/>
          <w:color w:val="000000" w:themeColor="text1"/>
        </w:rPr>
        <w:t>less correlat</w:t>
      </w:r>
      <w:r w:rsidR="00406DDB" w:rsidRPr="00B3329E">
        <w:rPr>
          <w:rFonts w:ascii="Tahoma" w:hAnsi="Tahoma" w:cs="Tahoma"/>
          <w:color w:val="000000" w:themeColor="text1"/>
        </w:rPr>
        <w:t>ion</w:t>
      </w:r>
      <w:r w:rsidR="00EA79FF" w:rsidRPr="00B3329E">
        <w:rPr>
          <w:rFonts w:ascii="Tahoma" w:hAnsi="Tahoma" w:cs="Tahoma"/>
          <w:color w:val="000000" w:themeColor="text1"/>
        </w:rPr>
        <w:t xml:space="preserve"> to global equities than those that are.  A t-test of the two sample means is presented in </w:t>
      </w:r>
      <w:r w:rsidR="00312ED7">
        <w:rPr>
          <w:rFonts w:ascii="Tahoma" w:hAnsi="Tahoma" w:cs="Tahoma"/>
          <w:color w:val="000000" w:themeColor="text1"/>
        </w:rPr>
        <w:t>section</w:t>
      </w:r>
      <w:r w:rsidR="00EA79FF" w:rsidRPr="00B3329E">
        <w:rPr>
          <w:rFonts w:ascii="Tahoma" w:hAnsi="Tahoma" w:cs="Tahoma"/>
          <w:color w:val="000000" w:themeColor="text1"/>
        </w:rPr>
        <w:t xml:space="preserve"> </w:t>
      </w:r>
      <w:r w:rsidR="00312ED7">
        <w:rPr>
          <w:rFonts w:ascii="Tahoma" w:hAnsi="Tahoma" w:cs="Tahoma"/>
          <w:color w:val="000000" w:themeColor="text1"/>
        </w:rPr>
        <w:t>5.3.4</w:t>
      </w:r>
      <w:r w:rsidRPr="00B3329E">
        <w:rPr>
          <w:rFonts w:ascii="Tahoma" w:hAnsi="Tahoma" w:cs="Tahoma"/>
          <w:color w:val="000000" w:themeColor="text1"/>
        </w:rPr>
        <w:t>.</w:t>
      </w:r>
    </w:p>
    <w:p w:rsidR="001707C5" w:rsidRDefault="001707C5" w:rsidP="00EA6483">
      <w:pPr>
        <w:spacing w:after="0"/>
        <w:rPr>
          <w:rFonts w:ascii="Tahoma" w:hAnsi="Tahoma" w:cs="Tahoma"/>
          <w:color w:val="000000" w:themeColor="text1"/>
        </w:rPr>
      </w:pPr>
    </w:p>
    <w:p w:rsidR="00490BC9" w:rsidRDefault="00490BC9" w:rsidP="00EA6483">
      <w:pPr>
        <w:spacing w:after="0"/>
        <w:rPr>
          <w:rFonts w:ascii="Tahoma" w:hAnsi="Tahoma" w:cs="Tahoma"/>
          <w:color w:val="000000" w:themeColor="text1"/>
        </w:rPr>
      </w:pPr>
    </w:p>
    <w:p w:rsidR="00CA2821" w:rsidRDefault="00CA2821">
      <w:pPr>
        <w:rPr>
          <w:rFonts w:ascii="Tahoma" w:hAnsi="Tahoma"/>
          <w:bCs/>
          <w:sz w:val="18"/>
        </w:rPr>
      </w:pPr>
      <w:bookmarkStart w:id="29" w:name="_Toc523319883"/>
      <w:r>
        <w:br w:type="page"/>
      </w:r>
    </w:p>
    <w:bookmarkEnd w:id="29"/>
    <w:p w:rsidR="001707C5" w:rsidRPr="00B3329E" w:rsidRDefault="001707C5" w:rsidP="00EA6483">
      <w:pPr>
        <w:spacing w:after="0"/>
        <w:rPr>
          <w:rFonts w:ascii="Tahoma" w:hAnsi="Tahoma" w:cs="Tahoma"/>
          <w:color w:val="000000" w:themeColor="text1"/>
        </w:rPr>
      </w:pPr>
    </w:p>
    <w:p w:rsidR="00EF3EB2" w:rsidRPr="00B3329E" w:rsidRDefault="00F5448D" w:rsidP="00A426E5">
      <w:pPr>
        <w:pStyle w:val="3"/>
        <w:rPr>
          <w:rFonts w:cs="Tahoma"/>
          <w:color w:val="000000" w:themeColor="text1"/>
        </w:rPr>
      </w:pPr>
      <w:bookmarkStart w:id="30" w:name="_Toc523311357"/>
      <w:r w:rsidRPr="00B3329E">
        <w:rPr>
          <w:rFonts w:cs="Tahoma"/>
          <w:color w:val="000000" w:themeColor="text1"/>
        </w:rPr>
        <w:t xml:space="preserve">Active </w:t>
      </w:r>
      <w:r w:rsidR="004C2C63">
        <w:rPr>
          <w:rFonts w:cs="Tahoma"/>
          <w:color w:val="000000" w:themeColor="text1"/>
        </w:rPr>
        <w:t>f</w:t>
      </w:r>
      <w:r w:rsidRPr="00B3329E">
        <w:rPr>
          <w:rFonts w:cs="Tahoma"/>
          <w:color w:val="000000" w:themeColor="text1"/>
        </w:rPr>
        <w:t>unds</w:t>
      </w:r>
      <w:bookmarkEnd w:id="30"/>
    </w:p>
    <w:p w:rsidR="004B4C33" w:rsidRPr="00B3329E" w:rsidRDefault="004B4C33" w:rsidP="00EA6483">
      <w:pPr>
        <w:spacing w:after="0"/>
        <w:rPr>
          <w:rFonts w:ascii="Tahoma" w:hAnsi="Tahoma" w:cs="Tahoma"/>
          <w:b/>
          <w:color w:val="000000" w:themeColor="text1"/>
        </w:rPr>
      </w:pPr>
    </w:p>
    <w:p w:rsidR="002C2B3A" w:rsidRPr="00B3329E" w:rsidRDefault="00406DDB" w:rsidP="00EA6483">
      <w:pPr>
        <w:spacing w:after="0"/>
        <w:rPr>
          <w:rFonts w:ascii="Tahoma" w:hAnsi="Tahoma" w:cs="Tahoma"/>
          <w:color w:val="000000" w:themeColor="text1"/>
        </w:rPr>
      </w:pPr>
      <w:r w:rsidRPr="00B3329E">
        <w:rPr>
          <w:rFonts w:ascii="Tahoma" w:hAnsi="Tahoma" w:cs="Tahoma"/>
          <w:color w:val="000000" w:themeColor="text1"/>
        </w:rPr>
        <w:t xml:space="preserve">The population of active funds was too young to cover the 15 year and 20 year time periods </w:t>
      </w:r>
      <w:r w:rsidR="002C2B3A" w:rsidRPr="00B3329E">
        <w:rPr>
          <w:rFonts w:ascii="Tahoma" w:hAnsi="Tahoma" w:cs="Tahoma"/>
          <w:color w:val="000000" w:themeColor="text1"/>
        </w:rPr>
        <w:t xml:space="preserve">as there is just one active fund with 15 years of history which is an insufficient sample to draw conclusions from, a fact not disclosed in Blanc-Brude at al’s (2016) study that covered an earlier 15 year time period.  However, there are 39 funds with enough data to perform analysis over the 10 year time period and this finds an average </w:t>
      </w:r>
      <w:r w:rsidR="00F5448D" w:rsidRPr="00B3329E">
        <w:rPr>
          <w:rFonts w:ascii="Tahoma" w:hAnsi="Tahoma" w:cs="Tahoma"/>
          <w:color w:val="000000" w:themeColor="text1"/>
        </w:rPr>
        <w:t>correlation</w:t>
      </w:r>
      <w:r w:rsidR="00A83E91" w:rsidRPr="00B3329E">
        <w:rPr>
          <w:rFonts w:ascii="Tahoma" w:hAnsi="Tahoma" w:cs="Tahoma"/>
          <w:color w:val="000000" w:themeColor="text1"/>
        </w:rPr>
        <w:t xml:space="preserve"> of 0.65</w:t>
      </w:r>
      <w:r w:rsidR="00F5448D" w:rsidRPr="00B3329E">
        <w:rPr>
          <w:rFonts w:ascii="Tahoma" w:hAnsi="Tahoma" w:cs="Tahoma"/>
          <w:color w:val="000000" w:themeColor="text1"/>
        </w:rPr>
        <w:t xml:space="preserve"> </w:t>
      </w:r>
      <w:r w:rsidR="002C2B3A" w:rsidRPr="00B3329E">
        <w:rPr>
          <w:rFonts w:ascii="Tahoma" w:hAnsi="Tahoma" w:cs="Tahoma"/>
          <w:color w:val="000000" w:themeColor="text1"/>
        </w:rPr>
        <w:t>with</w:t>
      </w:r>
      <w:r w:rsidR="00F5448D" w:rsidRPr="00B3329E">
        <w:rPr>
          <w:rFonts w:ascii="Tahoma" w:hAnsi="Tahoma" w:cs="Tahoma"/>
          <w:color w:val="000000" w:themeColor="text1"/>
        </w:rPr>
        <w:t xml:space="preserve"> global equities</w:t>
      </w:r>
      <w:r w:rsidR="00A83E91" w:rsidRPr="00B3329E">
        <w:rPr>
          <w:rFonts w:ascii="Tahoma" w:hAnsi="Tahoma" w:cs="Tahoma"/>
          <w:color w:val="000000" w:themeColor="text1"/>
        </w:rPr>
        <w:t>.  T</w:t>
      </w:r>
      <w:r w:rsidR="002C2B3A" w:rsidRPr="00B3329E">
        <w:rPr>
          <w:rFonts w:ascii="Tahoma" w:hAnsi="Tahoma" w:cs="Tahoma"/>
          <w:color w:val="000000" w:themeColor="text1"/>
        </w:rPr>
        <w:t>his is considered moderate correlation, but at</w:t>
      </w:r>
      <w:r w:rsidR="002B675F" w:rsidRPr="00B3329E">
        <w:rPr>
          <w:rFonts w:ascii="Tahoma" w:hAnsi="Tahoma" w:cs="Tahoma"/>
          <w:color w:val="000000" w:themeColor="text1"/>
        </w:rPr>
        <w:t xml:space="preserve"> the upper of the range</w:t>
      </w:r>
      <w:r w:rsidR="002C2B3A" w:rsidRPr="00B3329E">
        <w:rPr>
          <w:rFonts w:ascii="Tahoma" w:hAnsi="Tahoma" w:cs="Tahoma"/>
          <w:color w:val="000000" w:themeColor="text1"/>
        </w:rPr>
        <w:t xml:space="preserve"> </w:t>
      </w:r>
      <w:r w:rsidRPr="00B3329E">
        <w:rPr>
          <w:rFonts w:ascii="Tahoma" w:hAnsi="Tahoma" w:cs="Tahoma"/>
          <w:color w:val="000000" w:themeColor="text1"/>
        </w:rPr>
        <w:t xml:space="preserve">approaching </w:t>
      </w:r>
      <w:r w:rsidR="00A83E91" w:rsidRPr="00B3329E">
        <w:rPr>
          <w:rFonts w:ascii="Tahoma" w:hAnsi="Tahoma" w:cs="Tahoma"/>
          <w:color w:val="000000" w:themeColor="text1"/>
        </w:rPr>
        <w:t>high</w:t>
      </w:r>
      <w:r w:rsidRPr="00B3329E">
        <w:rPr>
          <w:rFonts w:ascii="Tahoma" w:hAnsi="Tahoma" w:cs="Tahoma"/>
          <w:color w:val="000000" w:themeColor="text1"/>
        </w:rPr>
        <w:t xml:space="preserve"> correlation</w:t>
      </w:r>
      <w:r w:rsidR="00A83E91" w:rsidRPr="00B3329E">
        <w:rPr>
          <w:rFonts w:ascii="Tahoma" w:hAnsi="Tahoma" w:cs="Tahoma"/>
          <w:color w:val="000000" w:themeColor="text1"/>
        </w:rPr>
        <w:t>.  T</w:t>
      </w:r>
      <w:r w:rsidR="00F5448D" w:rsidRPr="00B3329E">
        <w:rPr>
          <w:rFonts w:ascii="Tahoma" w:hAnsi="Tahoma" w:cs="Tahoma"/>
          <w:color w:val="000000" w:themeColor="text1"/>
        </w:rPr>
        <w:t>he range of correlations is from</w:t>
      </w:r>
      <w:r w:rsidR="00A83E91" w:rsidRPr="00B3329E">
        <w:rPr>
          <w:rFonts w:ascii="Tahoma" w:hAnsi="Tahoma" w:cs="Tahoma"/>
          <w:color w:val="000000" w:themeColor="text1"/>
        </w:rPr>
        <w:t xml:space="preserve"> 0.40</w:t>
      </w:r>
      <w:r w:rsidR="00F5448D" w:rsidRPr="00B3329E">
        <w:rPr>
          <w:rFonts w:ascii="Tahoma" w:hAnsi="Tahoma" w:cs="Tahoma"/>
          <w:color w:val="000000" w:themeColor="text1"/>
        </w:rPr>
        <w:t xml:space="preserve"> to </w:t>
      </w:r>
      <w:r w:rsidR="00A83E91" w:rsidRPr="00B3329E">
        <w:rPr>
          <w:rFonts w:ascii="Tahoma" w:hAnsi="Tahoma" w:cs="Tahoma"/>
          <w:color w:val="000000" w:themeColor="text1"/>
        </w:rPr>
        <w:t>0.85</w:t>
      </w:r>
      <w:r w:rsidR="00374858" w:rsidRPr="00B3329E">
        <w:rPr>
          <w:rFonts w:ascii="Tahoma" w:hAnsi="Tahoma" w:cs="Tahoma"/>
          <w:color w:val="000000" w:themeColor="text1"/>
        </w:rPr>
        <w:t xml:space="preserve"> indicating that there aren’t any funds that have delivered </w:t>
      </w:r>
      <w:r w:rsidR="002C2B3A" w:rsidRPr="00B3329E">
        <w:rPr>
          <w:rFonts w:ascii="Tahoma" w:hAnsi="Tahoma" w:cs="Tahoma"/>
          <w:color w:val="000000" w:themeColor="text1"/>
        </w:rPr>
        <w:t xml:space="preserve">negligible </w:t>
      </w:r>
      <w:r w:rsidR="00374858" w:rsidRPr="00B3329E">
        <w:rPr>
          <w:rFonts w:ascii="Tahoma" w:hAnsi="Tahoma" w:cs="Tahoma"/>
          <w:color w:val="000000" w:themeColor="text1"/>
        </w:rPr>
        <w:t>correlation</w:t>
      </w:r>
      <w:r w:rsidR="00A83E91" w:rsidRPr="00B3329E">
        <w:rPr>
          <w:rFonts w:ascii="Tahoma" w:hAnsi="Tahoma" w:cs="Tahoma"/>
          <w:color w:val="000000" w:themeColor="text1"/>
        </w:rPr>
        <w:t>.</w:t>
      </w:r>
      <w:r w:rsidR="00F5448D" w:rsidRPr="00B3329E">
        <w:rPr>
          <w:rFonts w:ascii="Tahoma" w:hAnsi="Tahoma" w:cs="Tahoma"/>
          <w:color w:val="000000" w:themeColor="text1"/>
        </w:rPr>
        <w:t xml:space="preserve">  This indicates that there </w:t>
      </w:r>
      <w:r w:rsidR="00A83E91" w:rsidRPr="00B3329E">
        <w:rPr>
          <w:rFonts w:ascii="Tahoma" w:hAnsi="Tahoma" w:cs="Tahoma"/>
          <w:color w:val="000000" w:themeColor="text1"/>
        </w:rPr>
        <w:t>is still some benefit to</w:t>
      </w:r>
      <w:r w:rsidR="00F5448D" w:rsidRPr="00B3329E">
        <w:rPr>
          <w:rFonts w:ascii="Tahoma" w:hAnsi="Tahoma" w:cs="Tahoma"/>
          <w:color w:val="000000" w:themeColor="text1"/>
        </w:rPr>
        <w:t xml:space="preserve"> including </w:t>
      </w:r>
      <w:r w:rsidR="00A83E91" w:rsidRPr="00B3329E">
        <w:rPr>
          <w:rFonts w:ascii="Tahoma" w:hAnsi="Tahoma" w:cs="Tahoma"/>
          <w:color w:val="000000" w:themeColor="text1"/>
        </w:rPr>
        <w:t>active funds</w:t>
      </w:r>
      <w:r w:rsidR="00F5448D" w:rsidRPr="00B3329E">
        <w:rPr>
          <w:rFonts w:ascii="Tahoma" w:hAnsi="Tahoma" w:cs="Tahoma"/>
          <w:color w:val="000000" w:themeColor="text1"/>
        </w:rPr>
        <w:t xml:space="preserve"> into a portfolio that already contains global equities</w:t>
      </w:r>
      <w:r w:rsidR="00695455" w:rsidRPr="00B3329E">
        <w:rPr>
          <w:rFonts w:ascii="Tahoma" w:hAnsi="Tahoma" w:cs="Tahoma"/>
          <w:color w:val="000000" w:themeColor="text1"/>
        </w:rPr>
        <w:t xml:space="preserve">, but to a </w:t>
      </w:r>
      <w:r w:rsidR="002C2B3A" w:rsidRPr="00B3329E">
        <w:rPr>
          <w:rFonts w:ascii="Tahoma" w:hAnsi="Tahoma" w:cs="Tahoma"/>
          <w:color w:val="000000" w:themeColor="text1"/>
        </w:rPr>
        <w:t xml:space="preserve">much </w:t>
      </w:r>
      <w:r w:rsidR="00695455" w:rsidRPr="00B3329E">
        <w:rPr>
          <w:rFonts w:ascii="Tahoma" w:hAnsi="Tahoma" w:cs="Tahoma"/>
          <w:color w:val="000000" w:themeColor="text1"/>
        </w:rPr>
        <w:t>lesser extent than buying the average infrastructure stock directly</w:t>
      </w:r>
      <w:r w:rsidR="00F5448D" w:rsidRPr="00B3329E">
        <w:rPr>
          <w:rFonts w:ascii="Tahoma" w:hAnsi="Tahoma" w:cs="Tahoma"/>
          <w:color w:val="000000" w:themeColor="text1"/>
        </w:rPr>
        <w:t>.</w:t>
      </w:r>
      <w:r w:rsidR="00A83E91" w:rsidRPr="00B3329E">
        <w:rPr>
          <w:rFonts w:ascii="Tahoma" w:hAnsi="Tahoma" w:cs="Tahoma"/>
          <w:color w:val="000000" w:themeColor="text1"/>
        </w:rPr>
        <w:t xml:space="preserve"> </w:t>
      </w:r>
      <w:r w:rsidR="002C2B3A" w:rsidRPr="00B3329E">
        <w:rPr>
          <w:rFonts w:ascii="Tahoma" w:hAnsi="Tahoma" w:cs="Tahoma"/>
          <w:color w:val="000000" w:themeColor="text1"/>
        </w:rPr>
        <w:t xml:space="preserve"> </w:t>
      </w:r>
    </w:p>
    <w:p w:rsidR="00174F17" w:rsidRPr="00B3329E" w:rsidRDefault="002C2B3A" w:rsidP="00EA6483">
      <w:pPr>
        <w:spacing w:after="0"/>
        <w:rPr>
          <w:rFonts w:ascii="Tahoma" w:hAnsi="Tahoma" w:cs="Tahoma"/>
          <w:color w:val="000000" w:themeColor="text1"/>
        </w:rPr>
      </w:pPr>
      <w:r w:rsidRPr="00B3329E">
        <w:rPr>
          <w:rFonts w:ascii="Tahoma" w:hAnsi="Tahoma" w:cs="Tahoma"/>
          <w:color w:val="000000" w:themeColor="text1"/>
        </w:rPr>
        <w:t>There is low kurtosis and skewness in the sample distribution.  Importantly, the relatively low standard deviation of correlations for the active funds indicates that they are more homogenous than stocks in terms of providing similar levels of moderate correlation.  This finding</w:t>
      </w:r>
      <w:r w:rsidR="00A83E91" w:rsidRPr="00B3329E">
        <w:rPr>
          <w:rFonts w:ascii="Tahoma" w:hAnsi="Tahoma" w:cs="Tahoma"/>
          <w:color w:val="000000" w:themeColor="text1"/>
        </w:rPr>
        <w:t xml:space="preserve"> is consistent with the </w:t>
      </w:r>
      <w:r w:rsidRPr="00B3329E">
        <w:rPr>
          <w:rFonts w:ascii="Tahoma" w:hAnsi="Tahoma" w:cs="Tahoma"/>
          <w:color w:val="000000" w:themeColor="text1"/>
        </w:rPr>
        <w:t xml:space="preserve">earlier study by </w:t>
      </w:r>
      <w:r w:rsidR="00695455" w:rsidRPr="00B3329E">
        <w:rPr>
          <w:rFonts w:ascii="Tahoma" w:hAnsi="Tahoma" w:cs="Tahoma"/>
          <w:color w:val="000000" w:themeColor="text1"/>
        </w:rPr>
        <w:t>Blanc-Brude</w:t>
      </w:r>
      <w:r w:rsidRPr="00B3329E">
        <w:rPr>
          <w:rFonts w:ascii="Tahoma" w:hAnsi="Tahoma" w:cs="Tahoma"/>
          <w:color w:val="000000" w:themeColor="text1"/>
        </w:rPr>
        <w:t xml:space="preserve"> et al</w:t>
      </w:r>
      <w:r w:rsidR="00695455" w:rsidRPr="00B3329E">
        <w:rPr>
          <w:rFonts w:ascii="Tahoma" w:hAnsi="Tahoma" w:cs="Tahoma"/>
          <w:color w:val="000000" w:themeColor="text1"/>
        </w:rPr>
        <w:t xml:space="preserve"> (201</w:t>
      </w:r>
      <w:r w:rsidR="002B675F" w:rsidRPr="00B3329E">
        <w:rPr>
          <w:rFonts w:ascii="Tahoma" w:hAnsi="Tahoma" w:cs="Tahoma"/>
          <w:color w:val="000000" w:themeColor="text1"/>
        </w:rPr>
        <w:t>6</w:t>
      </w:r>
      <w:r w:rsidR="00695455" w:rsidRPr="00B3329E">
        <w:rPr>
          <w:rFonts w:ascii="Tahoma" w:hAnsi="Tahoma" w:cs="Tahoma"/>
          <w:color w:val="000000" w:themeColor="text1"/>
        </w:rPr>
        <w:t>)</w:t>
      </w:r>
      <w:r w:rsidR="00D95816" w:rsidRPr="00B3329E">
        <w:rPr>
          <w:rFonts w:ascii="Tahoma" w:hAnsi="Tahoma" w:cs="Tahoma"/>
          <w:color w:val="000000" w:themeColor="text1"/>
        </w:rPr>
        <w:t xml:space="preserve"> that</w:t>
      </w:r>
      <w:r w:rsidR="00A83E91" w:rsidRPr="00B3329E">
        <w:rPr>
          <w:rFonts w:ascii="Tahoma" w:hAnsi="Tahoma" w:cs="Tahoma"/>
          <w:color w:val="000000" w:themeColor="text1"/>
        </w:rPr>
        <w:t xml:space="preserve"> covered </w:t>
      </w:r>
      <w:r w:rsidRPr="00B3329E">
        <w:rPr>
          <w:rFonts w:ascii="Tahoma" w:hAnsi="Tahoma" w:cs="Tahoma"/>
          <w:color w:val="000000" w:themeColor="text1"/>
        </w:rPr>
        <w:t xml:space="preserve">a smaller set of active funds over </w:t>
      </w:r>
      <w:r w:rsidR="00A83E91" w:rsidRPr="00B3329E">
        <w:rPr>
          <w:rFonts w:ascii="Tahoma" w:hAnsi="Tahoma" w:cs="Tahoma"/>
          <w:color w:val="000000" w:themeColor="text1"/>
        </w:rPr>
        <w:t>different time periods</w:t>
      </w:r>
      <w:r w:rsidRPr="00B3329E">
        <w:rPr>
          <w:rFonts w:ascii="Tahoma" w:hAnsi="Tahoma" w:cs="Tahoma"/>
          <w:color w:val="000000" w:themeColor="text1"/>
        </w:rPr>
        <w:t>.</w:t>
      </w:r>
    </w:p>
    <w:p w:rsidR="002C2B3A" w:rsidRDefault="002C2B3A" w:rsidP="00EA6483">
      <w:pPr>
        <w:spacing w:after="0"/>
        <w:rPr>
          <w:rFonts w:ascii="Tahoma" w:hAnsi="Tahoma" w:cs="Tahoma"/>
          <w:color w:val="000000" w:themeColor="text1"/>
        </w:rPr>
      </w:pPr>
    </w:p>
    <w:p w:rsidR="00CA2821" w:rsidRDefault="00CA2821">
      <w:pPr>
        <w:rPr>
          <w:rFonts w:ascii="Tahoma" w:hAnsi="Tahoma"/>
          <w:bCs/>
          <w:sz w:val="18"/>
        </w:rPr>
      </w:pPr>
      <w:bookmarkStart w:id="31" w:name="_Toc523319885"/>
      <w:r>
        <w:br w:type="page"/>
      </w:r>
    </w:p>
    <w:bookmarkEnd w:id="31"/>
    <w:p w:rsidR="00174F17" w:rsidRPr="00B3329E" w:rsidRDefault="00174F17"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174F17" w:rsidRPr="00B3329E" w:rsidRDefault="004C2C63" w:rsidP="00A426E5">
      <w:pPr>
        <w:pStyle w:val="3"/>
        <w:rPr>
          <w:rFonts w:cs="Tahoma"/>
          <w:color w:val="000000" w:themeColor="text1"/>
        </w:rPr>
      </w:pPr>
      <w:bookmarkStart w:id="32" w:name="_Toc523311358"/>
      <w:r>
        <w:rPr>
          <w:rFonts w:cs="Tahoma"/>
          <w:color w:val="000000" w:themeColor="text1"/>
        </w:rPr>
        <w:t>I</w:t>
      </w:r>
      <w:r w:rsidR="00174F17" w:rsidRPr="00B3329E">
        <w:rPr>
          <w:rFonts w:cs="Tahoma"/>
          <w:color w:val="000000" w:themeColor="text1"/>
        </w:rPr>
        <w:t>ndice</w:t>
      </w:r>
      <w:r w:rsidR="000416ED" w:rsidRPr="00B3329E">
        <w:rPr>
          <w:rFonts w:cs="Tahoma"/>
          <w:color w:val="000000" w:themeColor="text1"/>
        </w:rPr>
        <w:t>s</w:t>
      </w:r>
      <w:bookmarkEnd w:id="32"/>
    </w:p>
    <w:p w:rsidR="00174F17" w:rsidRPr="00B3329E" w:rsidRDefault="00174F17" w:rsidP="00EA6483">
      <w:pPr>
        <w:spacing w:after="0"/>
        <w:rPr>
          <w:rFonts w:ascii="Tahoma" w:hAnsi="Tahoma" w:cs="Tahoma"/>
          <w:b/>
          <w:color w:val="000000" w:themeColor="text1"/>
        </w:rPr>
      </w:pPr>
    </w:p>
    <w:p w:rsidR="003127E1" w:rsidRPr="00B3329E" w:rsidRDefault="00F5448D" w:rsidP="00EA6483">
      <w:pPr>
        <w:spacing w:after="0"/>
        <w:rPr>
          <w:rFonts w:ascii="Tahoma" w:hAnsi="Tahoma" w:cs="Tahoma"/>
          <w:color w:val="000000" w:themeColor="text1"/>
        </w:rPr>
      </w:pPr>
      <w:r w:rsidRPr="00B3329E">
        <w:rPr>
          <w:rFonts w:ascii="Tahoma" w:hAnsi="Tahoma" w:cs="Tahoma"/>
          <w:color w:val="000000" w:themeColor="text1"/>
        </w:rPr>
        <w:t xml:space="preserve">In-line with </w:t>
      </w:r>
      <w:r w:rsidR="002A6CF9" w:rsidRPr="00B3329E">
        <w:rPr>
          <w:rFonts w:ascii="Tahoma" w:hAnsi="Tahoma" w:cs="Tahoma"/>
          <w:color w:val="000000" w:themeColor="text1"/>
        </w:rPr>
        <w:t xml:space="preserve">active </w:t>
      </w:r>
      <w:r w:rsidRPr="00B3329E">
        <w:rPr>
          <w:rFonts w:ascii="Tahoma" w:hAnsi="Tahoma" w:cs="Tahoma"/>
          <w:color w:val="000000" w:themeColor="text1"/>
        </w:rPr>
        <w:t>funds, the listed infrastructure indices are also found to have high</w:t>
      </w:r>
      <w:r w:rsidR="002A6CF9" w:rsidRPr="00B3329E">
        <w:rPr>
          <w:rFonts w:ascii="Tahoma" w:hAnsi="Tahoma" w:cs="Tahoma"/>
          <w:color w:val="000000" w:themeColor="text1"/>
        </w:rPr>
        <w:t>er</w:t>
      </w:r>
      <w:r w:rsidRPr="00B3329E">
        <w:rPr>
          <w:rFonts w:ascii="Tahoma" w:hAnsi="Tahoma" w:cs="Tahoma"/>
          <w:color w:val="000000" w:themeColor="text1"/>
        </w:rPr>
        <w:t xml:space="preserve"> correlation </w:t>
      </w:r>
      <w:r w:rsidR="002A6CF9" w:rsidRPr="00B3329E">
        <w:rPr>
          <w:rFonts w:ascii="Tahoma" w:hAnsi="Tahoma" w:cs="Tahoma"/>
          <w:color w:val="000000" w:themeColor="text1"/>
        </w:rPr>
        <w:t>than the underlying infrastructure stocks</w:t>
      </w:r>
      <w:r w:rsidRPr="00B3329E">
        <w:rPr>
          <w:rFonts w:ascii="Tahoma" w:hAnsi="Tahoma" w:cs="Tahoma"/>
          <w:color w:val="000000" w:themeColor="text1"/>
        </w:rPr>
        <w:t xml:space="preserve">.  </w:t>
      </w:r>
      <w:r w:rsidR="00733B41" w:rsidRPr="00B3329E">
        <w:rPr>
          <w:rFonts w:ascii="Tahoma" w:hAnsi="Tahoma" w:cs="Tahoma"/>
          <w:color w:val="000000" w:themeColor="text1"/>
        </w:rPr>
        <w:t xml:space="preserve">This sample includes indices with particular regional or sector focus.  </w:t>
      </w:r>
      <w:r w:rsidR="00FF3666" w:rsidRPr="00B3329E">
        <w:rPr>
          <w:rFonts w:ascii="Tahoma" w:hAnsi="Tahoma" w:cs="Tahoma"/>
          <w:color w:val="000000" w:themeColor="text1"/>
        </w:rPr>
        <w:t xml:space="preserve">Over </w:t>
      </w:r>
      <w:r w:rsidR="002C2B3A" w:rsidRPr="00B3329E">
        <w:rPr>
          <w:rFonts w:ascii="Tahoma" w:hAnsi="Tahoma" w:cs="Tahoma"/>
          <w:color w:val="000000" w:themeColor="text1"/>
        </w:rPr>
        <w:t>the 20 year period</w:t>
      </w:r>
      <w:r w:rsidR="00FF3666" w:rsidRPr="00B3329E">
        <w:rPr>
          <w:rFonts w:ascii="Tahoma" w:hAnsi="Tahoma" w:cs="Tahoma"/>
          <w:color w:val="000000" w:themeColor="text1"/>
        </w:rPr>
        <w:t xml:space="preserve"> the </w:t>
      </w:r>
      <w:r w:rsidRPr="00B3329E">
        <w:rPr>
          <w:rFonts w:ascii="Tahoma" w:hAnsi="Tahoma" w:cs="Tahoma"/>
          <w:color w:val="000000" w:themeColor="text1"/>
        </w:rPr>
        <w:t xml:space="preserve">average correlation is </w:t>
      </w:r>
      <w:r w:rsidR="00FF3666" w:rsidRPr="00B3329E">
        <w:rPr>
          <w:rFonts w:ascii="Tahoma" w:hAnsi="Tahoma" w:cs="Tahoma"/>
          <w:color w:val="000000" w:themeColor="text1"/>
        </w:rPr>
        <w:t xml:space="preserve">0.47 and the standard deviation is low at 0.07, however, there are only 5 indices with sufficient history for inclusion in this sample.  </w:t>
      </w:r>
      <w:r w:rsidR="002C2B3A" w:rsidRPr="00B3329E">
        <w:rPr>
          <w:rFonts w:ascii="Tahoma" w:hAnsi="Tahoma" w:cs="Tahoma"/>
          <w:color w:val="000000" w:themeColor="text1"/>
        </w:rPr>
        <w:t xml:space="preserve">The shorter time periods that </w:t>
      </w:r>
      <w:r w:rsidR="00DF2348" w:rsidRPr="00B3329E">
        <w:rPr>
          <w:rFonts w:ascii="Tahoma" w:hAnsi="Tahoma" w:cs="Tahoma"/>
          <w:color w:val="000000" w:themeColor="text1"/>
        </w:rPr>
        <w:t xml:space="preserve">emphasise </w:t>
      </w:r>
      <w:r w:rsidR="002C2B3A" w:rsidRPr="00B3329E">
        <w:rPr>
          <w:rFonts w:ascii="Tahoma" w:hAnsi="Tahoma" w:cs="Tahoma"/>
          <w:color w:val="000000" w:themeColor="text1"/>
        </w:rPr>
        <w:t xml:space="preserve">the more recent past </w:t>
      </w:r>
      <w:r w:rsidR="00DF2348" w:rsidRPr="00B3329E">
        <w:rPr>
          <w:rFonts w:ascii="Tahoma" w:hAnsi="Tahoma" w:cs="Tahoma"/>
          <w:color w:val="000000" w:themeColor="text1"/>
        </w:rPr>
        <w:t xml:space="preserve">record increased correlation, with the </w:t>
      </w:r>
      <w:r w:rsidR="00FF3666" w:rsidRPr="00B3329E">
        <w:rPr>
          <w:rFonts w:ascii="Tahoma" w:hAnsi="Tahoma" w:cs="Tahoma"/>
          <w:color w:val="000000" w:themeColor="text1"/>
        </w:rPr>
        <w:t xml:space="preserve">10 year time period’s mean correlation high at 0.71 with much higher standard deviation, 0.18.  </w:t>
      </w:r>
      <w:r w:rsidR="00DF2348" w:rsidRPr="00B3329E">
        <w:rPr>
          <w:rFonts w:ascii="Tahoma" w:hAnsi="Tahoma" w:cs="Tahoma"/>
          <w:color w:val="000000" w:themeColor="text1"/>
        </w:rPr>
        <w:t>K</w:t>
      </w:r>
      <w:r w:rsidR="00FF3666" w:rsidRPr="00B3329E">
        <w:rPr>
          <w:rFonts w:ascii="Tahoma" w:hAnsi="Tahoma" w:cs="Tahoma"/>
          <w:color w:val="000000" w:themeColor="text1"/>
        </w:rPr>
        <w:t xml:space="preserve">urtosis and skewness </w:t>
      </w:r>
      <w:r w:rsidR="00DF2348" w:rsidRPr="00B3329E">
        <w:rPr>
          <w:rFonts w:ascii="Tahoma" w:hAnsi="Tahoma" w:cs="Tahoma"/>
          <w:color w:val="000000" w:themeColor="text1"/>
        </w:rPr>
        <w:t>are more important in this study.  Heavier tails are identified in the 10 and 20 year time periods, and there is negative skew in the 10 and 15 year period but positive skew over 20 years.  This could be due to the fairly small sample sizes and indicates that predictions about listed infrastructure indices may be less reliable than the other studies.</w:t>
      </w:r>
      <w:r w:rsidR="00593921">
        <w:rPr>
          <w:rFonts w:ascii="Tahoma" w:hAnsi="Tahoma" w:cs="Tahoma"/>
          <w:color w:val="000000" w:themeColor="text1"/>
        </w:rPr>
        <w:t xml:space="preserve">  The data is presented in Table 7 and Figures 4, 5 and 6.</w:t>
      </w:r>
    </w:p>
    <w:p w:rsidR="00733B41" w:rsidRPr="00B3329E" w:rsidRDefault="00733B41" w:rsidP="00733B41">
      <w:pPr>
        <w:spacing w:after="0"/>
        <w:rPr>
          <w:rFonts w:ascii="Tahoma" w:hAnsi="Tahoma" w:cs="Tahoma"/>
          <w:color w:val="000000" w:themeColor="text1"/>
        </w:rPr>
      </w:pPr>
    </w:p>
    <w:p w:rsidR="00733B41" w:rsidRDefault="00733B41" w:rsidP="00733B41">
      <w:pPr>
        <w:spacing w:after="0"/>
        <w:rPr>
          <w:rFonts w:ascii="Tahoma" w:hAnsi="Tahoma" w:cs="Tahoma"/>
          <w:color w:val="000000" w:themeColor="text1"/>
        </w:rPr>
      </w:pPr>
      <w:r w:rsidRPr="00B3329E">
        <w:rPr>
          <w:rFonts w:ascii="Tahoma" w:hAnsi="Tahoma" w:cs="Tahoma"/>
          <w:color w:val="000000" w:themeColor="text1"/>
        </w:rPr>
        <w:t xml:space="preserve">The correlation for the subset of indices that excludes regional and sector focused indices </w:t>
      </w:r>
      <w:r w:rsidR="00593921">
        <w:rPr>
          <w:rFonts w:ascii="Tahoma" w:hAnsi="Tahoma" w:cs="Tahoma"/>
          <w:color w:val="000000" w:themeColor="text1"/>
        </w:rPr>
        <w:t xml:space="preserve">and </w:t>
      </w:r>
      <w:r w:rsidRPr="00B3329E">
        <w:rPr>
          <w:rFonts w:ascii="Tahoma" w:hAnsi="Tahoma" w:cs="Tahoma"/>
          <w:color w:val="000000" w:themeColor="text1"/>
        </w:rPr>
        <w:t xml:space="preserve">just cover those with a globally diversified approach are presented in </w:t>
      </w:r>
      <w:r w:rsidR="00593921">
        <w:rPr>
          <w:rFonts w:ascii="Tahoma" w:hAnsi="Tahoma" w:cs="Tahoma"/>
          <w:color w:val="000000" w:themeColor="text1"/>
        </w:rPr>
        <w:t>T</w:t>
      </w:r>
      <w:r w:rsidRPr="00B3329E">
        <w:rPr>
          <w:rFonts w:ascii="Tahoma" w:hAnsi="Tahoma" w:cs="Tahoma"/>
          <w:color w:val="000000" w:themeColor="text1"/>
        </w:rPr>
        <w:t xml:space="preserve">able </w:t>
      </w:r>
      <w:r w:rsidR="00593921">
        <w:rPr>
          <w:rFonts w:ascii="Tahoma" w:hAnsi="Tahoma" w:cs="Tahoma"/>
          <w:color w:val="000000" w:themeColor="text1"/>
        </w:rPr>
        <w:t>8</w:t>
      </w:r>
      <w:r w:rsidRPr="00B3329E">
        <w:rPr>
          <w:rFonts w:ascii="Tahoma" w:hAnsi="Tahoma" w:cs="Tahoma"/>
          <w:color w:val="000000" w:themeColor="text1"/>
        </w:rPr>
        <w:t xml:space="preserve"> and </w:t>
      </w:r>
      <w:r w:rsidR="00593921">
        <w:rPr>
          <w:rFonts w:ascii="Tahoma" w:hAnsi="Tahoma" w:cs="Tahoma"/>
          <w:color w:val="000000" w:themeColor="text1"/>
        </w:rPr>
        <w:t>Figures 7 and 8</w:t>
      </w:r>
      <w:r w:rsidRPr="00B3329E">
        <w:rPr>
          <w:rFonts w:ascii="Tahoma" w:hAnsi="Tahoma" w:cs="Tahoma"/>
          <w:color w:val="000000" w:themeColor="text1"/>
        </w:rPr>
        <w:t>.  There are no global indices with 20 years’ of return history so this time period is not included. The exclusion of indices that have a regional or sector specialism leaves a cohort with much higher correlation to global equities, 0.77 and 0.82 over 15 years and 10 years, respectively.  The low standard deviation indicates that there has been little differen</w:t>
      </w:r>
      <w:r w:rsidR="004241E0" w:rsidRPr="00B3329E">
        <w:rPr>
          <w:rFonts w:ascii="Tahoma" w:hAnsi="Tahoma" w:cs="Tahoma"/>
          <w:color w:val="000000" w:themeColor="text1"/>
        </w:rPr>
        <w:t xml:space="preserve">tiation </w:t>
      </w:r>
      <w:r w:rsidRPr="00B3329E">
        <w:rPr>
          <w:rFonts w:ascii="Tahoma" w:hAnsi="Tahoma" w:cs="Tahoma"/>
          <w:color w:val="000000" w:themeColor="text1"/>
        </w:rPr>
        <w:t>across the different indices and therefore can be considered to be a fairly homogenous subset.</w:t>
      </w:r>
    </w:p>
    <w:p w:rsidR="0097491F" w:rsidRDefault="0097491F" w:rsidP="00733B41">
      <w:pPr>
        <w:spacing w:after="0"/>
        <w:rPr>
          <w:rFonts w:ascii="Tahoma" w:hAnsi="Tahoma" w:cs="Tahoma"/>
          <w:color w:val="000000" w:themeColor="text1"/>
        </w:rPr>
      </w:pPr>
    </w:p>
    <w:p w:rsidR="000416ED" w:rsidRPr="00B3329E" w:rsidRDefault="00CA2821" w:rsidP="005469A2">
      <w:pPr>
        <w:rPr>
          <w:rFonts w:ascii="Tahoma" w:hAnsi="Tahoma" w:cs="Tahoma"/>
          <w:color w:val="000000" w:themeColor="text1"/>
        </w:rPr>
      </w:pPr>
      <w:bookmarkStart w:id="33" w:name="_Toc523319886"/>
      <w:r>
        <w:br w:type="page"/>
      </w:r>
      <w:r w:rsidR="00D85D5E" w:rsidRPr="00490BC9" w:rsidDel="00D85D5E">
        <w:lastRenderedPageBreak/>
        <w:t xml:space="preserve"> </w:t>
      </w:r>
      <w:bookmarkEnd w:id="33"/>
    </w:p>
    <w:p w:rsidR="00490BC9" w:rsidRDefault="00490BC9" w:rsidP="00EA6483">
      <w:pPr>
        <w:spacing w:after="0"/>
        <w:jc w:val="center"/>
        <w:rPr>
          <w:rFonts w:ascii="Tahoma" w:hAnsi="Tahoma" w:cs="Tahoma"/>
          <w:color w:val="000000" w:themeColor="text1"/>
        </w:rPr>
      </w:pPr>
    </w:p>
    <w:p w:rsidR="00490BC9" w:rsidRDefault="00490BC9" w:rsidP="00EA6483">
      <w:pPr>
        <w:spacing w:after="0"/>
        <w:jc w:val="center"/>
        <w:rPr>
          <w:rFonts w:ascii="Tahoma" w:hAnsi="Tahoma" w:cs="Tahoma"/>
          <w:color w:val="000000" w:themeColor="text1"/>
        </w:rPr>
      </w:pPr>
    </w:p>
    <w:p w:rsidR="00490BC9" w:rsidRDefault="008938D1" w:rsidP="00E97A1D">
      <w:pPr>
        <w:pStyle w:val="ab"/>
      </w:pPr>
      <w:bookmarkStart w:id="34" w:name="_Toc523319888"/>
      <w:r>
        <w:t xml:space="preserve">Figure </w:t>
      </w:r>
      <w:r w:rsidR="002B0630">
        <w:t>5</w:t>
      </w:r>
      <w:r w:rsidR="00490BC9">
        <w:t>: 20 year correlation of indices</w:t>
      </w:r>
      <w:r w:rsidR="0097491F">
        <w:t xml:space="preserve"> (all)</w:t>
      </w:r>
      <w:r w:rsidR="00490BC9">
        <w:t xml:space="preserve"> and global equities</w:t>
      </w:r>
      <w:bookmarkEnd w:id="34"/>
    </w:p>
    <w:p w:rsidR="00490BC9" w:rsidRDefault="00490BC9" w:rsidP="00EA6483">
      <w:pPr>
        <w:spacing w:after="0"/>
        <w:jc w:val="center"/>
        <w:rPr>
          <w:rFonts w:ascii="Tahoma" w:hAnsi="Tahoma" w:cs="Tahoma"/>
          <w:color w:val="000000" w:themeColor="text1"/>
        </w:rPr>
      </w:pPr>
      <w:r w:rsidRPr="00B3329E">
        <w:rPr>
          <w:rFonts w:ascii="Tahoma" w:hAnsi="Tahoma" w:cs="Tahoma"/>
          <w:noProof/>
          <w:color w:val="000000" w:themeColor="text1"/>
          <w:lang w:val="en-US" w:eastAsia="zh-CN"/>
        </w:rPr>
        <w:drawing>
          <wp:inline distT="0" distB="0" distL="0" distR="0" wp14:anchorId="6C57F031" wp14:editId="04A67413">
            <wp:extent cx="5654040" cy="2125980"/>
            <wp:effectExtent l="0" t="0" r="381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0BC9" w:rsidRDefault="00490BC9" w:rsidP="00EA6483">
      <w:pPr>
        <w:spacing w:after="0"/>
        <w:jc w:val="center"/>
        <w:rPr>
          <w:rFonts w:ascii="Tahoma" w:hAnsi="Tahoma" w:cs="Tahoma"/>
          <w:color w:val="000000" w:themeColor="text1"/>
        </w:rPr>
      </w:pPr>
    </w:p>
    <w:p w:rsidR="00CA2821" w:rsidRDefault="00CA2821">
      <w:pPr>
        <w:rPr>
          <w:rFonts w:ascii="Tahoma" w:hAnsi="Tahoma"/>
          <w:bCs/>
          <w:sz w:val="18"/>
        </w:rPr>
      </w:pPr>
      <w:bookmarkStart w:id="35" w:name="_Toc523319889"/>
      <w:r>
        <w:br w:type="page"/>
      </w:r>
    </w:p>
    <w:p w:rsidR="00490BC9" w:rsidRPr="00AB0BAE" w:rsidRDefault="008938D1" w:rsidP="00AB0BAE">
      <w:pPr>
        <w:pStyle w:val="ab"/>
      </w:pPr>
      <w:r>
        <w:lastRenderedPageBreak/>
        <w:t xml:space="preserve">Figure </w:t>
      </w:r>
      <w:r w:rsidR="002B0630">
        <w:t>6</w:t>
      </w:r>
      <w:r w:rsidR="00490BC9">
        <w:t xml:space="preserve">: 15 year correlation of indices </w:t>
      </w:r>
      <w:r w:rsidR="0097491F">
        <w:t xml:space="preserve">(all) </w:t>
      </w:r>
      <w:r w:rsidR="00490BC9">
        <w:t>and global equities</w:t>
      </w:r>
      <w:bookmarkEnd w:id="35"/>
    </w:p>
    <w:p w:rsidR="00490BC9" w:rsidRDefault="00490BC9" w:rsidP="00EA6483">
      <w:pPr>
        <w:spacing w:after="0"/>
        <w:jc w:val="center"/>
        <w:rPr>
          <w:rFonts w:ascii="Tahoma" w:hAnsi="Tahoma" w:cs="Tahoma"/>
          <w:color w:val="000000" w:themeColor="text1"/>
        </w:rPr>
      </w:pPr>
      <w:r w:rsidRPr="00B3329E">
        <w:rPr>
          <w:rFonts w:ascii="Tahoma" w:hAnsi="Tahoma" w:cs="Tahoma"/>
          <w:noProof/>
          <w:color w:val="000000" w:themeColor="text1"/>
          <w:lang w:val="en-US" w:eastAsia="zh-CN"/>
        </w:rPr>
        <w:drawing>
          <wp:inline distT="0" distB="0" distL="0" distR="0" wp14:anchorId="00BFC284" wp14:editId="5795EB9D">
            <wp:extent cx="5638800" cy="21717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0BC9" w:rsidRDefault="00490BC9" w:rsidP="00490BC9">
      <w:pPr>
        <w:spacing w:after="0"/>
        <w:rPr>
          <w:rFonts w:ascii="Tahoma" w:hAnsi="Tahoma" w:cs="Tahoma"/>
          <w:color w:val="000000" w:themeColor="text1"/>
        </w:rPr>
      </w:pPr>
    </w:p>
    <w:p w:rsidR="00490BC9" w:rsidRDefault="00490BC9" w:rsidP="00490BC9">
      <w:pPr>
        <w:spacing w:after="0"/>
        <w:rPr>
          <w:rFonts w:ascii="Tahoma" w:hAnsi="Tahoma" w:cs="Tahoma"/>
          <w:color w:val="000000" w:themeColor="text1"/>
        </w:rPr>
      </w:pPr>
    </w:p>
    <w:p w:rsidR="00490BC9" w:rsidRDefault="008938D1" w:rsidP="00E97A1D">
      <w:pPr>
        <w:pStyle w:val="ab"/>
      </w:pPr>
      <w:bookmarkStart w:id="36" w:name="_Toc523319890"/>
      <w:r>
        <w:t xml:space="preserve">Figure </w:t>
      </w:r>
      <w:r w:rsidR="002B0630">
        <w:t>7</w:t>
      </w:r>
      <w:r w:rsidR="00490BC9">
        <w:t xml:space="preserve">: 10 year correlation of indices </w:t>
      </w:r>
      <w:r w:rsidR="0097491F">
        <w:t xml:space="preserve">(all) </w:t>
      </w:r>
      <w:r w:rsidR="00490BC9">
        <w:t>and global equities</w:t>
      </w:r>
      <w:bookmarkEnd w:id="36"/>
    </w:p>
    <w:p w:rsidR="00490BC9" w:rsidRDefault="00490BC9" w:rsidP="00EA6483">
      <w:pPr>
        <w:spacing w:after="0"/>
        <w:jc w:val="center"/>
        <w:rPr>
          <w:rFonts w:ascii="Tahoma" w:hAnsi="Tahoma" w:cs="Tahoma"/>
          <w:color w:val="000000" w:themeColor="text1"/>
        </w:rPr>
      </w:pPr>
    </w:p>
    <w:p w:rsidR="006B5A44" w:rsidRPr="00B3329E" w:rsidRDefault="000416ED" w:rsidP="00EA6483">
      <w:pPr>
        <w:spacing w:after="0"/>
        <w:jc w:val="center"/>
        <w:rPr>
          <w:rFonts w:ascii="Tahoma" w:hAnsi="Tahoma" w:cs="Tahoma"/>
          <w:color w:val="000000" w:themeColor="text1"/>
        </w:rPr>
      </w:pPr>
      <w:r w:rsidRPr="00B3329E">
        <w:rPr>
          <w:rFonts w:ascii="Tahoma" w:hAnsi="Tahoma" w:cs="Tahoma"/>
          <w:noProof/>
          <w:color w:val="000000" w:themeColor="text1"/>
          <w:lang w:val="en-US" w:eastAsia="zh-CN"/>
        </w:rPr>
        <w:drawing>
          <wp:inline distT="0" distB="0" distL="0" distR="0" wp14:anchorId="2D7CBF94" wp14:editId="25CE5208">
            <wp:extent cx="5638800" cy="2217420"/>
            <wp:effectExtent l="0" t="0" r="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6483" w:rsidRDefault="00EA6483" w:rsidP="00EA6483">
      <w:pPr>
        <w:spacing w:after="0"/>
        <w:jc w:val="center"/>
        <w:rPr>
          <w:rFonts w:ascii="Tahoma" w:hAnsi="Tahoma" w:cs="Tahoma"/>
          <w:color w:val="000000" w:themeColor="text1"/>
        </w:rPr>
      </w:pPr>
    </w:p>
    <w:p w:rsidR="00760AA3" w:rsidRDefault="00760AA3" w:rsidP="00EA6483">
      <w:pPr>
        <w:spacing w:after="0"/>
        <w:jc w:val="center"/>
        <w:rPr>
          <w:rFonts w:ascii="Tahoma" w:hAnsi="Tahoma" w:cs="Tahoma"/>
          <w:color w:val="000000" w:themeColor="text1"/>
        </w:rPr>
      </w:pPr>
    </w:p>
    <w:p w:rsidR="00760AA3" w:rsidRPr="00AB0BAE" w:rsidRDefault="00760AA3" w:rsidP="00AB0BAE">
      <w:pPr>
        <w:pStyle w:val="ab"/>
      </w:pPr>
      <w:bookmarkStart w:id="37" w:name="_Toc523319891"/>
      <w:r>
        <w:t xml:space="preserve">Figure </w:t>
      </w:r>
      <w:r w:rsidR="002B0630">
        <w:t>8</w:t>
      </w:r>
      <w:r>
        <w:t>: 15 year correlation of indices (global) and global equities</w:t>
      </w:r>
      <w:bookmarkEnd w:id="37"/>
    </w:p>
    <w:p w:rsidR="000416ED" w:rsidRPr="00B3329E" w:rsidRDefault="00A77357" w:rsidP="00EA6483">
      <w:pPr>
        <w:spacing w:after="0"/>
        <w:jc w:val="center"/>
        <w:rPr>
          <w:rFonts w:ascii="Tahoma" w:hAnsi="Tahoma" w:cs="Tahoma"/>
          <w:color w:val="000000" w:themeColor="text1"/>
        </w:rPr>
      </w:pPr>
      <w:r>
        <w:rPr>
          <w:noProof/>
          <w:lang w:val="en-US" w:eastAsia="zh-CN"/>
        </w:rPr>
        <w:drawing>
          <wp:inline distT="0" distB="0" distL="0" distR="0" wp14:anchorId="772DB865" wp14:editId="30080370">
            <wp:extent cx="5600700" cy="2270760"/>
            <wp:effectExtent l="0" t="0" r="0"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6483" w:rsidRDefault="00EA6483" w:rsidP="00EA6483">
      <w:pPr>
        <w:spacing w:after="0"/>
        <w:jc w:val="center"/>
        <w:rPr>
          <w:rFonts w:ascii="Tahoma" w:hAnsi="Tahoma" w:cs="Tahoma"/>
          <w:color w:val="000000" w:themeColor="text1"/>
        </w:rPr>
      </w:pPr>
    </w:p>
    <w:p w:rsidR="00760AA3" w:rsidRDefault="00760AA3" w:rsidP="00EA6483">
      <w:pPr>
        <w:spacing w:after="0"/>
        <w:jc w:val="center"/>
        <w:rPr>
          <w:rFonts w:ascii="Tahoma" w:hAnsi="Tahoma" w:cs="Tahoma"/>
          <w:color w:val="000000" w:themeColor="text1"/>
        </w:rPr>
      </w:pPr>
    </w:p>
    <w:p w:rsidR="00CA2821" w:rsidRDefault="00CA2821">
      <w:pPr>
        <w:rPr>
          <w:rFonts w:ascii="Tahoma" w:hAnsi="Tahoma"/>
          <w:bCs/>
          <w:sz w:val="18"/>
        </w:rPr>
      </w:pPr>
      <w:bookmarkStart w:id="38" w:name="_Toc523319892"/>
      <w:r>
        <w:br w:type="page"/>
      </w:r>
    </w:p>
    <w:p w:rsidR="00760AA3" w:rsidRPr="00AB0BAE" w:rsidRDefault="00760AA3" w:rsidP="00AB0BAE">
      <w:pPr>
        <w:pStyle w:val="ab"/>
      </w:pPr>
      <w:r>
        <w:lastRenderedPageBreak/>
        <w:t xml:space="preserve">Figure </w:t>
      </w:r>
      <w:r w:rsidR="002B0630">
        <w:t>9</w:t>
      </w:r>
      <w:r>
        <w:t>: 10 year correlation of indices (global) and global equities</w:t>
      </w:r>
      <w:bookmarkEnd w:id="38"/>
    </w:p>
    <w:p w:rsidR="000416ED" w:rsidRPr="00B3329E" w:rsidRDefault="00A77357" w:rsidP="00EA6483">
      <w:pPr>
        <w:spacing w:after="0"/>
        <w:jc w:val="center"/>
        <w:rPr>
          <w:rFonts w:ascii="Tahoma" w:hAnsi="Tahoma" w:cs="Tahoma"/>
          <w:color w:val="000000" w:themeColor="text1"/>
        </w:rPr>
      </w:pPr>
      <w:r>
        <w:rPr>
          <w:noProof/>
          <w:lang w:val="en-US" w:eastAsia="zh-CN"/>
        </w:rPr>
        <w:drawing>
          <wp:inline distT="0" distB="0" distL="0" distR="0" wp14:anchorId="3E78A632" wp14:editId="358CA315">
            <wp:extent cx="5623560" cy="2148840"/>
            <wp:effectExtent l="0" t="0" r="15240" b="381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16ED" w:rsidRPr="00B3329E" w:rsidRDefault="000416ED" w:rsidP="00EA6483">
      <w:pPr>
        <w:spacing w:after="0"/>
        <w:jc w:val="center"/>
        <w:rPr>
          <w:rFonts w:ascii="Tahoma" w:hAnsi="Tahoma" w:cs="Tahoma"/>
          <w:color w:val="000000" w:themeColor="text1"/>
        </w:rPr>
      </w:pPr>
    </w:p>
    <w:p w:rsidR="000416ED" w:rsidRPr="00B3329E" w:rsidRDefault="000416ED" w:rsidP="00EA6483">
      <w:pPr>
        <w:spacing w:after="0"/>
        <w:rPr>
          <w:rFonts w:ascii="Tahoma" w:hAnsi="Tahoma" w:cs="Tahoma"/>
          <w:color w:val="000000" w:themeColor="text1"/>
        </w:rPr>
      </w:pPr>
    </w:p>
    <w:p w:rsidR="00EA6483" w:rsidRPr="00B3329E" w:rsidRDefault="00EA6483" w:rsidP="00EA6483">
      <w:pPr>
        <w:spacing w:after="0"/>
        <w:rPr>
          <w:rFonts w:ascii="Tahoma" w:hAnsi="Tahoma" w:cs="Tahoma"/>
          <w:b/>
          <w:color w:val="000000" w:themeColor="text1"/>
        </w:rPr>
      </w:pPr>
    </w:p>
    <w:p w:rsidR="00EA6483" w:rsidRPr="001125E2" w:rsidRDefault="006A3E42" w:rsidP="001125E2">
      <w:pPr>
        <w:pStyle w:val="2"/>
        <w:rPr>
          <w:rFonts w:cs="Tahoma"/>
          <w:color w:val="000000" w:themeColor="text1"/>
        </w:rPr>
      </w:pPr>
      <w:bookmarkStart w:id="39" w:name="_Toc523311359"/>
      <w:r w:rsidRPr="00B3329E">
        <w:rPr>
          <w:rFonts w:cs="Tahoma"/>
          <w:color w:val="000000" w:themeColor="text1"/>
        </w:rPr>
        <w:t>5</w:t>
      </w:r>
      <w:r w:rsidR="000416ED" w:rsidRPr="00B3329E">
        <w:rPr>
          <w:rFonts w:cs="Tahoma"/>
          <w:color w:val="000000" w:themeColor="text1"/>
        </w:rPr>
        <w:t xml:space="preserve">.2. Rolling </w:t>
      </w:r>
      <w:r w:rsidR="004C2C63">
        <w:rPr>
          <w:rFonts w:cs="Tahoma"/>
          <w:color w:val="000000" w:themeColor="text1"/>
        </w:rPr>
        <w:t>c</w:t>
      </w:r>
      <w:r w:rsidR="000416ED" w:rsidRPr="00B3329E">
        <w:rPr>
          <w:rFonts w:cs="Tahoma"/>
          <w:color w:val="000000" w:themeColor="text1"/>
        </w:rPr>
        <w:t>orrelation</w:t>
      </w:r>
      <w:bookmarkEnd w:id="39"/>
    </w:p>
    <w:p w:rsidR="004241E0" w:rsidRPr="00B3329E" w:rsidRDefault="004241E0" w:rsidP="00EA6483">
      <w:pPr>
        <w:spacing w:after="0"/>
        <w:rPr>
          <w:rFonts w:ascii="Tahoma" w:hAnsi="Tahoma" w:cs="Tahoma"/>
          <w:b/>
          <w:color w:val="000000" w:themeColor="text1"/>
        </w:rPr>
      </w:pPr>
    </w:p>
    <w:p w:rsidR="002E4299" w:rsidRPr="00B3329E" w:rsidRDefault="006A3E42" w:rsidP="00A426E5">
      <w:pPr>
        <w:pStyle w:val="3"/>
        <w:rPr>
          <w:rFonts w:cs="Tahoma"/>
          <w:color w:val="000000" w:themeColor="text1"/>
        </w:rPr>
      </w:pPr>
      <w:bookmarkStart w:id="40" w:name="_Toc523311360"/>
      <w:r w:rsidRPr="00B3329E">
        <w:rPr>
          <w:rFonts w:cs="Tahoma"/>
          <w:color w:val="000000" w:themeColor="text1"/>
        </w:rPr>
        <w:t>5</w:t>
      </w:r>
      <w:r w:rsidR="000416ED" w:rsidRPr="00B3329E">
        <w:rPr>
          <w:rFonts w:cs="Tahoma"/>
          <w:color w:val="000000" w:themeColor="text1"/>
        </w:rPr>
        <w:t xml:space="preserve">.2.1 </w:t>
      </w:r>
      <w:r w:rsidR="002E4299" w:rsidRPr="00B3329E">
        <w:rPr>
          <w:rFonts w:cs="Tahoma"/>
          <w:color w:val="000000" w:themeColor="text1"/>
        </w:rPr>
        <w:t xml:space="preserve">Infrastructure </w:t>
      </w:r>
      <w:r w:rsidR="004C2C63">
        <w:rPr>
          <w:rFonts w:cs="Tahoma"/>
          <w:color w:val="000000" w:themeColor="text1"/>
        </w:rPr>
        <w:t>s</w:t>
      </w:r>
      <w:r w:rsidR="002E4299" w:rsidRPr="00B3329E">
        <w:rPr>
          <w:rFonts w:cs="Tahoma"/>
          <w:color w:val="000000" w:themeColor="text1"/>
        </w:rPr>
        <w:t>tocks</w:t>
      </w:r>
      <w:bookmarkEnd w:id="40"/>
    </w:p>
    <w:p w:rsidR="00EA6483" w:rsidRPr="00B3329E" w:rsidRDefault="00EA6483" w:rsidP="00EA6483">
      <w:pPr>
        <w:spacing w:after="0"/>
        <w:rPr>
          <w:rFonts w:ascii="Tahoma" w:hAnsi="Tahoma" w:cs="Tahoma"/>
          <w:b/>
          <w:color w:val="000000" w:themeColor="text1"/>
        </w:rPr>
      </w:pPr>
    </w:p>
    <w:p w:rsidR="00431FA5" w:rsidRPr="00B3329E" w:rsidRDefault="00431FA5" w:rsidP="00EA6483">
      <w:pPr>
        <w:spacing w:after="0"/>
        <w:rPr>
          <w:rFonts w:ascii="Tahoma" w:hAnsi="Tahoma" w:cs="Tahoma"/>
          <w:color w:val="000000" w:themeColor="text1"/>
        </w:rPr>
      </w:pPr>
      <w:r w:rsidRPr="00B3329E">
        <w:rPr>
          <w:rFonts w:ascii="Tahoma" w:hAnsi="Tahoma" w:cs="Tahoma"/>
          <w:color w:val="000000" w:themeColor="text1"/>
        </w:rPr>
        <w:t xml:space="preserve">The infrastructure stocks have experienced varying levels of correlation with global equities over the past 20 years.  It has risen from negligible levels in the </w:t>
      </w:r>
      <w:r w:rsidR="00E27069" w:rsidRPr="00B3329E">
        <w:rPr>
          <w:rFonts w:ascii="Tahoma" w:hAnsi="Tahoma" w:cs="Tahoma"/>
          <w:color w:val="000000" w:themeColor="text1"/>
        </w:rPr>
        <w:t>earliest</w:t>
      </w:r>
      <w:r w:rsidRPr="00B3329E">
        <w:rPr>
          <w:rFonts w:ascii="Tahoma" w:hAnsi="Tahoma" w:cs="Tahoma"/>
          <w:color w:val="000000" w:themeColor="text1"/>
        </w:rPr>
        <w:t xml:space="preserve"> period</w:t>
      </w:r>
      <w:r w:rsidR="00E27069" w:rsidRPr="00B3329E">
        <w:rPr>
          <w:rFonts w:ascii="Tahoma" w:hAnsi="Tahoma" w:cs="Tahoma"/>
          <w:color w:val="000000" w:themeColor="text1"/>
        </w:rPr>
        <w:t xml:space="preserve"> of this study</w:t>
      </w:r>
      <w:r w:rsidRPr="00B3329E">
        <w:rPr>
          <w:rFonts w:ascii="Tahoma" w:hAnsi="Tahoma" w:cs="Tahoma"/>
          <w:color w:val="000000" w:themeColor="text1"/>
        </w:rPr>
        <w:t xml:space="preserve"> to </w:t>
      </w:r>
      <w:r w:rsidR="00E27069" w:rsidRPr="00B3329E">
        <w:rPr>
          <w:rFonts w:ascii="Tahoma" w:hAnsi="Tahoma" w:cs="Tahoma"/>
          <w:color w:val="000000" w:themeColor="text1"/>
        </w:rPr>
        <w:t>0.47</w:t>
      </w:r>
      <w:r w:rsidRPr="00B3329E">
        <w:rPr>
          <w:rFonts w:ascii="Tahoma" w:hAnsi="Tahoma" w:cs="Tahoma"/>
          <w:color w:val="000000" w:themeColor="text1"/>
        </w:rPr>
        <w:t>, during the financial crisis, and subsequently has fallen back to negligible levels.</w:t>
      </w:r>
      <w:r w:rsidR="00E27069" w:rsidRPr="00B3329E">
        <w:rPr>
          <w:rFonts w:ascii="Tahoma" w:hAnsi="Tahoma" w:cs="Tahoma"/>
          <w:color w:val="000000" w:themeColor="text1"/>
        </w:rPr>
        <w:t xml:space="preserve">  These results indicate that over different market environments infrastructure stocks have consistently </w:t>
      </w:r>
      <w:r w:rsidR="004241E0" w:rsidRPr="00B3329E">
        <w:rPr>
          <w:rFonts w:ascii="Tahoma" w:hAnsi="Tahoma" w:cs="Tahoma"/>
          <w:color w:val="000000" w:themeColor="text1"/>
        </w:rPr>
        <w:t xml:space="preserve">had </w:t>
      </w:r>
      <w:r w:rsidR="00E27069" w:rsidRPr="00B3329E">
        <w:rPr>
          <w:rFonts w:ascii="Tahoma" w:hAnsi="Tahoma" w:cs="Tahoma"/>
          <w:color w:val="000000" w:themeColor="text1"/>
        </w:rPr>
        <w:t>negligible or low correlation with global equities.</w:t>
      </w:r>
    </w:p>
    <w:p w:rsidR="000B0521" w:rsidRDefault="000B0521" w:rsidP="00EA6483">
      <w:pPr>
        <w:spacing w:after="0"/>
        <w:rPr>
          <w:rFonts w:ascii="Tahoma" w:hAnsi="Tahoma" w:cs="Tahoma"/>
          <w:color w:val="000000" w:themeColor="text1"/>
        </w:rPr>
      </w:pPr>
    </w:p>
    <w:p w:rsidR="001125E2" w:rsidRDefault="001125E2">
      <w:pPr>
        <w:rPr>
          <w:rFonts w:ascii="Tahoma" w:hAnsi="Tahoma"/>
          <w:bCs/>
          <w:sz w:val="18"/>
        </w:rPr>
      </w:pPr>
      <w:bookmarkStart w:id="41" w:name="_Toc523319894"/>
      <w:r>
        <w:br w:type="page"/>
      </w:r>
    </w:p>
    <w:p w:rsidR="00490BC9" w:rsidRPr="00AB0BAE" w:rsidRDefault="008938D1" w:rsidP="00AB0BAE">
      <w:pPr>
        <w:pStyle w:val="ab"/>
      </w:pPr>
      <w:r>
        <w:lastRenderedPageBreak/>
        <w:t xml:space="preserve">Figure </w:t>
      </w:r>
      <w:r w:rsidR="002B0630">
        <w:t>10</w:t>
      </w:r>
      <w:r w:rsidR="00490BC9">
        <w:t>: Rolling correlation of infrastructure stocks and global equities</w:t>
      </w:r>
      <w:bookmarkEnd w:id="41"/>
    </w:p>
    <w:p w:rsidR="00BE0053" w:rsidRPr="00B3329E" w:rsidRDefault="00E27069" w:rsidP="00EA6483">
      <w:pPr>
        <w:spacing w:after="0"/>
        <w:jc w:val="center"/>
        <w:rPr>
          <w:rFonts w:ascii="Tahoma" w:hAnsi="Tahoma" w:cs="Tahoma"/>
          <w:color w:val="000000" w:themeColor="text1"/>
        </w:rPr>
      </w:pPr>
      <w:r w:rsidRPr="00B3329E">
        <w:rPr>
          <w:rFonts w:ascii="Tahoma" w:hAnsi="Tahoma" w:cs="Tahoma"/>
          <w:noProof/>
          <w:color w:val="000000" w:themeColor="text1"/>
          <w:lang w:val="en-US" w:eastAsia="zh-CN"/>
        </w:rPr>
        <w:drawing>
          <wp:inline distT="0" distB="0" distL="0" distR="0" wp14:anchorId="74CBD16B" wp14:editId="4A2DEF7B">
            <wp:extent cx="5593080" cy="2796540"/>
            <wp:effectExtent l="0" t="0" r="7620"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7069" w:rsidRPr="00B3329E" w:rsidRDefault="00E27069"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E27069" w:rsidRPr="00B3329E" w:rsidRDefault="00E27069" w:rsidP="00EA6483">
      <w:pPr>
        <w:spacing w:after="0"/>
        <w:rPr>
          <w:rFonts w:ascii="Tahoma" w:hAnsi="Tahoma" w:cs="Tahoma"/>
          <w:color w:val="000000" w:themeColor="text1"/>
        </w:rPr>
      </w:pPr>
      <w:r w:rsidRPr="00B3329E">
        <w:rPr>
          <w:rFonts w:ascii="Tahoma" w:hAnsi="Tahoma" w:cs="Tahoma"/>
          <w:color w:val="000000" w:themeColor="text1"/>
        </w:rPr>
        <w:t xml:space="preserve">When the infrastructure stocks are split into their sectors </w:t>
      </w:r>
      <w:r w:rsidR="00741EEB" w:rsidRPr="00B3329E">
        <w:rPr>
          <w:rFonts w:ascii="Tahoma" w:hAnsi="Tahoma" w:cs="Tahoma"/>
          <w:color w:val="000000" w:themeColor="text1"/>
        </w:rPr>
        <w:t xml:space="preserve">this study finds that </w:t>
      </w:r>
      <w:r w:rsidR="004241E0" w:rsidRPr="00B3329E">
        <w:rPr>
          <w:rFonts w:ascii="Tahoma" w:hAnsi="Tahoma" w:cs="Tahoma"/>
          <w:color w:val="000000" w:themeColor="text1"/>
        </w:rPr>
        <w:t xml:space="preserve">in addition to different levels of correlation over the long-term </w:t>
      </w:r>
      <w:r w:rsidR="00741EEB" w:rsidRPr="00B3329E">
        <w:rPr>
          <w:rFonts w:ascii="Tahoma" w:hAnsi="Tahoma" w:cs="Tahoma"/>
          <w:color w:val="000000" w:themeColor="text1"/>
        </w:rPr>
        <w:t>there are differences in the persistency of their correlation</w:t>
      </w:r>
      <w:r w:rsidRPr="00B3329E">
        <w:rPr>
          <w:rFonts w:ascii="Tahoma" w:hAnsi="Tahoma" w:cs="Tahoma"/>
          <w:color w:val="000000" w:themeColor="text1"/>
        </w:rPr>
        <w:t>.</w:t>
      </w:r>
      <w:r w:rsidR="00741EEB" w:rsidRPr="00B3329E">
        <w:rPr>
          <w:rFonts w:ascii="Tahoma" w:hAnsi="Tahoma" w:cs="Tahoma"/>
          <w:color w:val="000000" w:themeColor="text1"/>
        </w:rPr>
        <w:t xml:space="preserve">  Consumer Services, Consumer Cycles and Technology have quite stable correlations over time as evidenced by the low standard </w:t>
      </w:r>
      <w:r w:rsidR="002B675F" w:rsidRPr="00B3329E">
        <w:rPr>
          <w:rFonts w:ascii="Tahoma" w:hAnsi="Tahoma" w:cs="Tahoma"/>
          <w:color w:val="000000" w:themeColor="text1"/>
        </w:rPr>
        <w:t>deviation</w:t>
      </w:r>
      <w:r w:rsidR="004241E0" w:rsidRPr="00B3329E">
        <w:rPr>
          <w:rFonts w:ascii="Tahoma" w:hAnsi="Tahoma" w:cs="Tahoma"/>
          <w:color w:val="000000" w:themeColor="text1"/>
        </w:rPr>
        <w:t xml:space="preserve"> 0.05-0.06, whereas</w:t>
      </w:r>
      <w:r w:rsidR="00741EEB" w:rsidRPr="00B3329E">
        <w:rPr>
          <w:rFonts w:ascii="Tahoma" w:hAnsi="Tahoma" w:cs="Tahoma"/>
          <w:color w:val="000000" w:themeColor="text1"/>
        </w:rPr>
        <w:t xml:space="preserve"> </w:t>
      </w:r>
      <w:r w:rsidR="004241E0" w:rsidRPr="00B3329E">
        <w:rPr>
          <w:rFonts w:ascii="Tahoma" w:hAnsi="Tahoma" w:cs="Tahoma"/>
          <w:color w:val="000000" w:themeColor="text1"/>
        </w:rPr>
        <w:t>i</w:t>
      </w:r>
      <w:r w:rsidR="000B0521" w:rsidRPr="00B3329E">
        <w:rPr>
          <w:rFonts w:ascii="Tahoma" w:hAnsi="Tahoma" w:cs="Tahoma"/>
          <w:color w:val="000000" w:themeColor="text1"/>
        </w:rPr>
        <w:t>nfrastructure</w:t>
      </w:r>
      <w:r w:rsidR="004241E0" w:rsidRPr="00B3329E">
        <w:rPr>
          <w:rFonts w:ascii="Tahoma" w:hAnsi="Tahoma" w:cs="Tahoma"/>
          <w:color w:val="000000" w:themeColor="text1"/>
        </w:rPr>
        <w:t xml:space="preserve"> stocks</w:t>
      </w:r>
      <w:r w:rsidR="00741EEB" w:rsidRPr="00B3329E">
        <w:rPr>
          <w:rFonts w:ascii="Tahoma" w:hAnsi="Tahoma" w:cs="Tahoma"/>
          <w:color w:val="000000" w:themeColor="text1"/>
        </w:rPr>
        <w:t xml:space="preserve"> in the he</w:t>
      </w:r>
      <w:r w:rsidR="00926475" w:rsidRPr="00B3329E">
        <w:rPr>
          <w:rFonts w:ascii="Tahoma" w:hAnsi="Tahoma" w:cs="Tahoma"/>
          <w:color w:val="000000" w:themeColor="text1"/>
        </w:rPr>
        <w:t>althcare sector experienced low</w:t>
      </w:r>
      <w:r w:rsidR="00741EEB" w:rsidRPr="00B3329E">
        <w:rPr>
          <w:rFonts w:ascii="Tahoma" w:hAnsi="Tahoma" w:cs="Tahoma"/>
          <w:color w:val="000000" w:themeColor="text1"/>
        </w:rPr>
        <w:t xml:space="preserve"> correlation to global equities on average </w:t>
      </w:r>
      <w:r w:rsidR="00CF54B0" w:rsidRPr="00B3329E">
        <w:rPr>
          <w:rFonts w:ascii="Tahoma" w:hAnsi="Tahoma" w:cs="Tahoma"/>
          <w:color w:val="000000" w:themeColor="text1"/>
        </w:rPr>
        <w:t xml:space="preserve">(0.32) </w:t>
      </w:r>
      <w:r w:rsidR="00741EEB" w:rsidRPr="00B3329E">
        <w:rPr>
          <w:rFonts w:ascii="Tahoma" w:hAnsi="Tahoma" w:cs="Tahoma"/>
          <w:color w:val="000000" w:themeColor="text1"/>
        </w:rPr>
        <w:t>but this correlation was more volatil</w:t>
      </w:r>
      <w:r w:rsidR="000B0521" w:rsidRPr="00B3329E">
        <w:rPr>
          <w:rFonts w:ascii="Tahoma" w:hAnsi="Tahoma" w:cs="Tahoma"/>
          <w:color w:val="000000" w:themeColor="text1"/>
        </w:rPr>
        <w:t>e with a range of -0.01 to 0.56 and standard deviation of 0.19.</w:t>
      </w:r>
      <w:r w:rsidR="004241E0" w:rsidRPr="00B3329E">
        <w:rPr>
          <w:rFonts w:ascii="Tahoma" w:hAnsi="Tahoma" w:cs="Tahoma"/>
          <w:color w:val="000000" w:themeColor="text1"/>
        </w:rPr>
        <w:t xml:space="preserve">  The increase in correlation occurred during the GFC indicating a greater sensitivity to economic and market shocks for some sectors than others.  Infrastructure stocks in the healthcare sector was relatively more impact</w:t>
      </w:r>
      <w:r w:rsidR="00000FCD">
        <w:rPr>
          <w:rFonts w:ascii="Tahoma" w:hAnsi="Tahoma" w:cs="Tahoma"/>
          <w:color w:val="000000" w:themeColor="text1"/>
        </w:rPr>
        <w:t>ed</w:t>
      </w:r>
      <w:r w:rsidR="004241E0" w:rsidRPr="00B3329E">
        <w:rPr>
          <w:rFonts w:ascii="Tahoma" w:hAnsi="Tahoma" w:cs="Tahoma"/>
          <w:color w:val="000000" w:themeColor="text1"/>
        </w:rPr>
        <w:t>than those in the con</w:t>
      </w:r>
      <w:r w:rsidR="009402E4" w:rsidRPr="00B3329E">
        <w:rPr>
          <w:rFonts w:ascii="Tahoma" w:hAnsi="Tahoma" w:cs="Tahoma"/>
          <w:color w:val="000000" w:themeColor="text1"/>
        </w:rPr>
        <w:t>sumer cyclical sector.</w:t>
      </w:r>
    </w:p>
    <w:p w:rsidR="00EA6483" w:rsidRDefault="00EA6483" w:rsidP="00EA6483">
      <w:pPr>
        <w:spacing w:after="0"/>
        <w:rPr>
          <w:rFonts w:ascii="Tahoma" w:hAnsi="Tahoma" w:cs="Tahoma"/>
          <w:color w:val="000000" w:themeColor="text1"/>
        </w:rPr>
      </w:pPr>
    </w:p>
    <w:p w:rsidR="00CA2821" w:rsidRDefault="00CA2821">
      <w:pPr>
        <w:rPr>
          <w:rFonts w:ascii="Tahoma" w:hAnsi="Tahoma"/>
          <w:bCs/>
          <w:sz w:val="18"/>
        </w:rPr>
      </w:pPr>
      <w:bookmarkStart w:id="42" w:name="_Toc523319895"/>
      <w:r>
        <w:br w:type="page"/>
      </w:r>
    </w:p>
    <w:bookmarkEnd w:id="42"/>
    <w:p w:rsidR="00741EEB" w:rsidRDefault="00741EEB" w:rsidP="00EA6483">
      <w:pPr>
        <w:spacing w:after="0"/>
        <w:rPr>
          <w:rFonts w:ascii="Tahoma" w:hAnsi="Tahoma" w:cs="Tahoma"/>
          <w:color w:val="000000" w:themeColor="text1"/>
        </w:rPr>
      </w:pPr>
    </w:p>
    <w:p w:rsidR="00C56CA9" w:rsidRDefault="008938D1" w:rsidP="00E97A1D">
      <w:pPr>
        <w:pStyle w:val="ab"/>
      </w:pPr>
      <w:bookmarkStart w:id="43" w:name="_Toc523319896"/>
      <w:r>
        <w:t xml:space="preserve">Figure </w:t>
      </w:r>
      <w:r w:rsidR="00760AA3">
        <w:t>1</w:t>
      </w:r>
      <w:r w:rsidR="002B0630">
        <w:t>1</w:t>
      </w:r>
      <w:r w:rsidR="00C56CA9">
        <w:t xml:space="preserve">: </w:t>
      </w:r>
      <w:r w:rsidR="00112B59">
        <w:t xml:space="preserve">Rolling correlations of infrastructure stock sectors </w:t>
      </w:r>
      <w:r w:rsidR="00C56CA9">
        <w:t>and global equities</w:t>
      </w:r>
      <w:bookmarkEnd w:id="43"/>
    </w:p>
    <w:p w:rsidR="00C56CA9" w:rsidRPr="00B3329E" w:rsidRDefault="00C56CA9" w:rsidP="00EA6483">
      <w:pPr>
        <w:spacing w:after="0"/>
        <w:rPr>
          <w:rFonts w:ascii="Tahoma" w:hAnsi="Tahoma" w:cs="Tahoma"/>
          <w:color w:val="000000" w:themeColor="text1"/>
        </w:rPr>
      </w:pPr>
    </w:p>
    <w:p w:rsidR="00431FA5" w:rsidRPr="00B3329E" w:rsidRDefault="00BE0053" w:rsidP="00EA6483">
      <w:pPr>
        <w:spacing w:after="0"/>
        <w:rPr>
          <w:rFonts w:ascii="Tahoma" w:hAnsi="Tahoma" w:cs="Tahoma"/>
          <w:color w:val="000000" w:themeColor="text1"/>
        </w:rPr>
      </w:pPr>
      <w:r w:rsidRPr="00B3329E">
        <w:rPr>
          <w:rFonts w:ascii="Tahoma" w:hAnsi="Tahoma" w:cs="Tahoma"/>
          <w:noProof/>
          <w:color w:val="000000" w:themeColor="text1"/>
          <w:lang w:val="en-US" w:eastAsia="zh-CN"/>
        </w:rPr>
        <w:drawing>
          <wp:inline distT="0" distB="0" distL="0" distR="0" wp14:anchorId="1D25DB72" wp14:editId="50605737">
            <wp:extent cx="5731510" cy="3369945"/>
            <wp:effectExtent l="0" t="0" r="2540" b="19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31FA5" w:rsidRPr="00B3329E" w:rsidRDefault="00431FA5" w:rsidP="00EA6483">
      <w:pPr>
        <w:spacing w:after="0"/>
        <w:rPr>
          <w:rFonts w:ascii="Tahoma" w:hAnsi="Tahoma" w:cs="Tahoma"/>
          <w:b/>
          <w:color w:val="000000" w:themeColor="text1"/>
        </w:rPr>
      </w:pPr>
    </w:p>
    <w:p w:rsidR="00EA6483" w:rsidRPr="00B3329E" w:rsidRDefault="00EA6483" w:rsidP="00EA6483">
      <w:pPr>
        <w:spacing w:after="0"/>
        <w:rPr>
          <w:rFonts w:ascii="Tahoma" w:hAnsi="Tahoma" w:cs="Tahoma"/>
          <w:b/>
          <w:color w:val="000000" w:themeColor="text1"/>
        </w:rPr>
      </w:pPr>
    </w:p>
    <w:p w:rsidR="006C2F68" w:rsidRPr="00B3329E" w:rsidRDefault="006A3E42" w:rsidP="00A426E5">
      <w:pPr>
        <w:pStyle w:val="3"/>
        <w:rPr>
          <w:rFonts w:cs="Tahoma"/>
          <w:color w:val="000000" w:themeColor="text1"/>
        </w:rPr>
      </w:pPr>
      <w:bookmarkStart w:id="44" w:name="_Toc523311361"/>
      <w:r w:rsidRPr="00B3329E">
        <w:rPr>
          <w:rFonts w:cs="Tahoma"/>
          <w:color w:val="000000" w:themeColor="text1"/>
        </w:rPr>
        <w:t>5</w:t>
      </w:r>
      <w:r w:rsidR="003E4872" w:rsidRPr="00B3329E">
        <w:rPr>
          <w:rFonts w:cs="Tahoma"/>
          <w:color w:val="000000" w:themeColor="text1"/>
        </w:rPr>
        <w:t>.2.2.</w:t>
      </w:r>
      <w:r w:rsidR="006C2F68" w:rsidRPr="00B3329E">
        <w:rPr>
          <w:rFonts w:cs="Tahoma"/>
          <w:color w:val="000000" w:themeColor="text1"/>
        </w:rPr>
        <w:t xml:space="preserve"> Active funds</w:t>
      </w:r>
      <w:bookmarkEnd w:id="44"/>
    </w:p>
    <w:p w:rsidR="00EA6483" w:rsidRPr="00B3329E" w:rsidRDefault="00EA6483" w:rsidP="00EA6483">
      <w:pPr>
        <w:spacing w:after="0"/>
        <w:rPr>
          <w:rFonts w:ascii="Tahoma" w:hAnsi="Tahoma" w:cs="Tahoma"/>
          <w:b/>
          <w:color w:val="000000" w:themeColor="text1"/>
        </w:rPr>
      </w:pPr>
    </w:p>
    <w:p w:rsidR="00EA6483" w:rsidRDefault="0082640E" w:rsidP="00EA6483">
      <w:pPr>
        <w:spacing w:after="0"/>
        <w:rPr>
          <w:rFonts w:ascii="Tahoma" w:hAnsi="Tahoma" w:cs="Tahoma"/>
          <w:b/>
          <w:color w:val="000000" w:themeColor="text1"/>
        </w:rPr>
      </w:pPr>
      <w:r w:rsidRPr="00B3329E">
        <w:rPr>
          <w:rFonts w:ascii="Tahoma" w:hAnsi="Tahoma" w:cs="Tahoma"/>
          <w:color w:val="000000" w:themeColor="text1"/>
        </w:rPr>
        <w:t>The</w:t>
      </w:r>
      <w:r w:rsidR="006C2F68" w:rsidRPr="00B3329E">
        <w:rPr>
          <w:rFonts w:ascii="Tahoma" w:hAnsi="Tahoma" w:cs="Tahoma"/>
          <w:color w:val="000000" w:themeColor="text1"/>
        </w:rPr>
        <w:t xml:space="preserve"> correlation for the active funds has </w:t>
      </w:r>
      <w:r w:rsidR="00FC36D4" w:rsidRPr="00B3329E">
        <w:rPr>
          <w:rFonts w:ascii="Tahoma" w:hAnsi="Tahoma" w:cs="Tahoma"/>
          <w:color w:val="000000" w:themeColor="text1"/>
        </w:rPr>
        <w:t>changed</w:t>
      </w:r>
      <w:r w:rsidR="002F03FB" w:rsidRPr="00B3329E">
        <w:rPr>
          <w:rFonts w:ascii="Tahoma" w:hAnsi="Tahoma" w:cs="Tahoma"/>
          <w:color w:val="000000" w:themeColor="text1"/>
        </w:rPr>
        <w:t xml:space="preserve"> substantially </w:t>
      </w:r>
      <w:r w:rsidRPr="00B3329E">
        <w:rPr>
          <w:rFonts w:ascii="Tahoma" w:hAnsi="Tahoma" w:cs="Tahoma"/>
          <w:color w:val="000000" w:themeColor="text1"/>
        </w:rPr>
        <w:t xml:space="preserve">over time.  In </w:t>
      </w:r>
      <w:r w:rsidR="002F03FB" w:rsidRPr="00B3329E">
        <w:rPr>
          <w:rFonts w:ascii="Tahoma" w:hAnsi="Tahoma" w:cs="Tahoma"/>
          <w:color w:val="000000" w:themeColor="text1"/>
        </w:rPr>
        <w:t xml:space="preserve">the earliest measurement period </w:t>
      </w:r>
      <w:r w:rsidRPr="00B3329E">
        <w:rPr>
          <w:rFonts w:ascii="Tahoma" w:hAnsi="Tahoma" w:cs="Tahoma"/>
          <w:color w:val="000000" w:themeColor="text1"/>
        </w:rPr>
        <w:t>it was high at 0.83 but has decreased to 0.52 and is approaching low correlation levels.</w:t>
      </w:r>
      <w:r w:rsidRPr="00B3329E">
        <w:rPr>
          <w:rFonts w:ascii="Tahoma" w:hAnsi="Tahoma" w:cs="Tahoma"/>
          <w:b/>
          <w:color w:val="000000" w:themeColor="text1"/>
        </w:rPr>
        <w:t xml:space="preserve"> </w:t>
      </w:r>
    </w:p>
    <w:p w:rsidR="0097491F" w:rsidRDefault="0097491F" w:rsidP="00EA6483">
      <w:pPr>
        <w:spacing w:after="0"/>
        <w:rPr>
          <w:rFonts w:ascii="Tahoma" w:hAnsi="Tahoma" w:cs="Tahoma"/>
          <w:b/>
          <w:color w:val="000000" w:themeColor="text1"/>
        </w:rPr>
      </w:pPr>
    </w:p>
    <w:p w:rsidR="00E97A1D" w:rsidRPr="00B3329E" w:rsidRDefault="00E97A1D" w:rsidP="00EA6483">
      <w:pPr>
        <w:spacing w:after="0"/>
        <w:rPr>
          <w:rFonts w:ascii="Tahoma" w:hAnsi="Tahoma" w:cs="Tahoma"/>
          <w:b/>
          <w:color w:val="000000" w:themeColor="text1"/>
        </w:rPr>
      </w:pPr>
    </w:p>
    <w:p w:rsidR="006C2F68" w:rsidRPr="00E97A1D" w:rsidRDefault="008938D1" w:rsidP="00E97A1D">
      <w:pPr>
        <w:pStyle w:val="ab"/>
      </w:pPr>
      <w:bookmarkStart w:id="45" w:name="_Toc523319898"/>
      <w:r>
        <w:t xml:space="preserve">Figure </w:t>
      </w:r>
      <w:r w:rsidR="00760AA3">
        <w:t>1</w:t>
      </w:r>
      <w:r w:rsidR="002B0630">
        <w:t>2</w:t>
      </w:r>
      <w:r w:rsidR="00112B59">
        <w:t>: Rolling correlations of active funds and global equities</w:t>
      </w:r>
      <w:bookmarkEnd w:id="45"/>
    </w:p>
    <w:p w:rsidR="006C2F68" w:rsidRPr="00B3329E" w:rsidRDefault="00CF54B0" w:rsidP="00EA6483">
      <w:pPr>
        <w:spacing w:after="0"/>
        <w:rPr>
          <w:rFonts w:ascii="Tahoma" w:hAnsi="Tahoma" w:cs="Tahoma"/>
          <w:b/>
          <w:color w:val="000000" w:themeColor="text1"/>
        </w:rPr>
      </w:pPr>
      <w:r w:rsidRPr="00B3329E">
        <w:rPr>
          <w:rFonts w:ascii="Tahoma" w:hAnsi="Tahoma" w:cs="Tahoma"/>
          <w:noProof/>
          <w:color w:val="000000" w:themeColor="text1"/>
          <w:lang w:val="en-US" w:eastAsia="zh-CN"/>
        </w:rPr>
        <w:lastRenderedPageBreak/>
        <w:drawing>
          <wp:inline distT="0" distB="0" distL="0" distR="0" wp14:anchorId="4BC1F96A" wp14:editId="6B8A45CD">
            <wp:extent cx="5669280" cy="3398520"/>
            <wp:effectExtent l="0" t="0" r="762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C7387" w:rsidRPr="00B3329E" w:rsidRDefault="002C7387" w:rsidP="00EA6483">
      <w:pPr>
        <w:spacing w:after="0"/>
        <w:rPr>
          <w:rFonts w:ascii="Tahoma" w:hAnsi="Tahoma" w:cs="Tahoma"/>
          <w:b/>
          <w:color w:val="000000" w:themeColor="text1"/>
        </w:rPr>
      </w:pPr>
    </w:p>
    <w:p w:rsidR="002C7387" w:rsidRPr="00B3329E" w:rsidRDefault="002C7387" w:rsidP="00EA6483">
      <w:pPr>
        <w:spacing w:after="0"/>
        <w:rPr>
          <w:rFonts w:ascii="Tahoma" w:hAnsi="Tahoma" w:cs="Tahoma"/>
          <w:b/>
          <w:color w:val="000000" w:themeColor="text1"/>
        </w:rPr>
      </w:pPr>
    </w:p>
    <w:p w:rsidR="00CA2821" w:rsidRDefault="00CA2821">
      <w:pPr>
        <w:rPr>
          <w:rFonts w:ascii="Tahoma" w:eastAsiaTheme="majorEastAsia" w:hAnsi="Tahoma" w:cs="Tahoma"/>
          <w:b/>
          <w:color w:val="000000" w:themeColor="text1"/>
          <w:szCs w:val="28"/>
        </w:rPr>
      </w:pPr>
      <w:bookmarkStart w:id="46" w:name="_Toc523311362"/>
      <w:r>
        <w:rPr>
          <w:rFonts w:cs="Tahoma"/>
          <w:color w:val="000000" w:themeColor="text1"/>
        </w:rPr>
        <w:br w:type="page"/>
      </w:r>
    </w:p>
    <w:p w:rsidR="006C2F68" w:rsidRPr="00B3329E" w:rsidRDefault="006A3E42" w:rsidP="00A426E5">
      <w:pPr>
        <w:pStyle w:val="3"/>
        <w:rPr>
          <w:rFonts w:cs="Tahoma"/>
          <w:color w:val="000000" w:themeColor="text1"/>
        </w:rPr>
      </w:pPr>
      <w:r w:rsidRPr="00B3329E">
        <w:rPr>
          <w:rFonts w:cs="Tahoma"/>
          <w:color w:val="000000" w:themeColor="text1"/>
        </w:rPr>
        <w:lastRenderedPageBreak/>
        <w:t>5</w:t>
      </w:r>
      <w:r w:rsidR="006C2F68" w:rsidRPr="00B3329E">
        <w:rPr>
          <w:rFonts w:cs="Tahoma"/>
          <w:color w:val="000000" w:themeColor="text1"/>
        </w:rPr>
        <w:t>.2.</w:t>
      </w:r>
      <w:r w:rsidR="003E4872" w:rsidRPr="00B3329E">
        <w:rPr>
          <w:rFonts w:cs="Tahoma"/>
          <w:color w:val="000000" w:themeColor="text1"/>
        </w:rPr>
        <w:t>3.</w:t>
      </w:r>
      <w:r w:rsidR="006C2F68" w:rsidRPr="00B3329E">
        <w:rPr>
          <w:rFonts w:cs="Tahoma"/>
          <w:color w:val="000000" w:themeColor="text1"/>
        </w:rPr>
        <w:t xml:space="preserve"> Indices</w:t>
      </w:r>
      <w:bookmarkEnd w:id="46"/>
    </w:p>
    <w:p w:rsidR="00EA6483" w:rsidRPr="00B3329E" w:rsidRDefault="00EA6483" w:rsidP="00EA6483">
      <w:pPr>
        <w:spacing w:after="0"/>
        <w:rPr>
          <w:rFonts w:ascii="Tahoma" w:hAnsi="Tahoma" w:cs="Tahoma"/>
          <w:b/>
          <w:color w:val="000000" w:themeColor="text1"/>
        </w:rPr>
      </w:pPr>
    </w:p>
    <w:p w:rsidR="00305727" w:rsidRPr="00B3329E" w:rsidRDefault="006651F8" w:rsidP="00EA6483">
      <w:pPr>
        <w:spacing w:after="0"/>
        <w:rPr>
          <w:rFonts w:ascii="Tahoma" w:hAnsi="Tahoma" w:cs="Tahoma"/>
          <w:color w:val="000000" w:themeColor="text1"/>
        </w:rPr>
      </w:pPr>
      <w:r w:rsidRPr="00B3329E">
        <w:rPr>
          <w:rFonts w:ascii="Tahoma" w:hAnsi="Tahoma" w:cs="Tahoma"/>
          <w:color w:val="000000" w:themeColor="text1"/>
        </w:rPr>
        <w:t xml:space="preserve">The full sample of indices, </w:t>
      </w:r>
      <w:r w:rsidR="00EB7B2D" w:rsidRPr="00B3329E">
        <w:rPr>
          <w:rFonts w:ascii="Tahoma" w:hAnsi="Tahoma" w:cs="Tahoma"/>
          <w:color w:val="000000" w:themeColor="text1"/>
        </w:rPr>
        <w:t xml:space="preserve">including those with a </w:t>
      </w:r>
      <w:r w:rsidRPr="00B3329E">
        <w:rPr>
          <w:rFonts w:ascii="Tahoma" w:hAnsi="Tahoma" w:cs="Tahoma"/>
          <w:color w:val="000000" w:themeColor="text1"/>
        </w:rPr>
        <w:t xml:space="preserve">regional </w:t>
      </w:r>
      <w:r w:rsidR="00EB7B2D" w:rsidRPr="00B3329E">
        <w:rPr>
          <w:rFonts w:ascii="Tahoma" w:hAnsi="Tahoma" w:cs="Tahoma"/>
          <w:color w:val="000000" w:themeColor="text1"/>
        </w:rPr>
        <w:t>or</w:t>
      </w:r>
      <w:r w:rsidRPr="00B3329E">
        <w:rPr>
          <w:rFonts w:ascii="Tahoma" w:hAnsi="Tahoma" w:cs="Tahoma"/>
          <w:color w:val="000000" w:themeColor="text1"/>
        </w:rPr>
        <w:t xml:space="preserve"> sector focus, has experienced substantial changes to its correlation profile over time.  It has ranged from having negligible correlation in its earliest period</w:t>
      </w:r>
      <w:r w:rsidR="00305727" w:rsidRPr="00B3329E">
        <w:rPr>
          <w:rFonts w:ascii="Tahoma" w:hAnsi="Tahoma" w:cs="Tahoma"/>
          <w:color w:val="000000" w:themeColor="text1"/>
        </w:rPr>
        <w:t>,</w:t>
      </w:r>
      <w:r w:rsidRPr="00B3329E">
        <w:rPr>
          <w:rFonts w:ascii="Tahoma" w:hAnsi="Tahoma" w:cs="Tahoma"/>
          <w:color w:val="000000" w:themeColor="text1"/>
        </w:rPr>
        <w:t xml:space="preserve"> </w:t>
      </w:r>
      <w:r w:rsidR="00305727" w:rsidRPr="00B3329E">
        <w:rPr>
          <w:rFonts w:ascii="Tahoma" w:hAnsi="Tahoma" w:cs="Tahoma"/>
          <w:color w:val="000000" w:themeColor="text1"/>
        </w:rPr>
        <w:t xml:space="preserve">rising to </w:t>
      </w:r>
      <w:r w:rsidRPr="00B3329E">
        <w:rPr>
          <w:rFonts w:ascii="Tahoma" w:hAnsi="Tahoma" w:cs="Tahoma"/>
          <w:color w:val="000000" w:themeColor="text1"/>
        </w:rPr>
        <w:t>high correlation during the GFC</w:t>
      </w:r>
      <w:r w:rsidR="00305727" w:rsidRPr="00B3329E">
        <w:rPr>
          <w:rFonts w:ascii="Tahoma" w:hAnsi="Tahoma" w:cs="Tahoma"/>
          <w:color w:val="000000" w:themeColor="text1"/>
        </w:rPr>
        <w:t xml:space="preserve">, and falling to moderate </w:t>
      </w:r>
      <w:r w:rsidR="00EB7B2D" w:rsidRPr="00B3329E">
        <w:rPr>
          <w:rFonts w:ascii="Tahoma" w:hAnsi="Tahoma" w:cs="Tahoma"/>
          <w:color w:val="000000" w:themeColor="text1"/>
        </w:rPr>
        <w:t>levels in the subsequent period where the global stock market has recovered.</w:t>
      </w:r>
    </w:p>
    <w:p w:rsidR="00EA6483" w:rsidRPr="00B3329E" w:rsidRDefault="00EA6483" w:rsidP="00EA6483">
      <w:pPr>
        <w:spacing w:after="0"/>
        <w:rPr>
          <w:rFonts w:ascii="Tahoma" w:hAnsi="Tahoma" w:cs="Tahoma"/>
          <w:color w:val="000000" w:themeColor="text1"/>
        </w:rPr>
      </w:pPr>
    </w:p>
    <w:p w:rsidR="00173EFC" w:rsidRPr="00B3329E" w:rsidRDefault="00173EFC" w:rsidP="00173EFC">
      <w:pPr>
        <w:spacing w:after="0"/>
        <w:rPr>
          <w:rFonts w:ascii="Tahoma" w:hAnsi="Tahoma" w:cs="Tahoma"/>
          <w:color w:val="000000" w:themeColor="text1"/>
        </w:rPr>
      </w:pPr>
      <w:r w:rsidRPr="00B3329E">
        <w:rPr>
          <w:rFonts w:ascii="Tahoma" w:hAnsi="Tahoma" w:cs="Tahoma"/>
          <w:color w:val="000000" w:themeColor="text1"/>
        </w:rPr>
        <w:t>In contrast, the average correlation of the infrastructure indices (global only) has moved in a much higher range from 0.62 to 0.9, which is moderate to high.  Again, the correlation increased through the period of the financial crisis where correlations between most assets increased and have subsequently fallen to levels that were lower than prior to the GFC.</w:t>
      </w:r>
    </w:p>
    <w:p w:rsidR="00D137D0" w:rsidRDefault="00D137D0" w:rsidP="00EA6483">
      <w:pPr>
        <w:spacing w:after="0"/>
        <w:rPr>
          <w:rFonts w:ascii="Tahoma" w:hAnsi="Tahoma" w:cs="Tahoma"/>
          <w:color w:val="000000" w:themeColor="text1"/>
        </w:rPr>
      </w:pPr>
    </w:p>
    <w:p w:rsidR="00112B59" w:rsidRDefault="00112B59" w:rsidP="00EA6483">
      <w:pPr>
        <w:spacing w:after="0"/>
        <w:rPr>
          <w:rFonts w:ascii="Tahoma" w:hAnsi="Tahoma" w:cs="Tahoma"/>
          <w:color w:val="000000" w:themeColor="text1"/>
        </w:rPr>
      </w:pPr>
    </w:p>
    <w:p w:rsidR="00CA2821" w:rsidRDefault="00CA2821">
      <w:pPr>
        <w:rPr>
          <w:rFonts w:ascii="Tahoma" w:hAnsi="Tahoma"/>
          <w:bCs/>
          <w:sz w:val="18"/>
        </w:rPr>
      </w:pPr>
      <w:bookmarkStart w:id="47" w:name="_Toc523319900"/>
      <w:r>
        <w:br w:type="page"/>
      </w:r>
    </w:p>
    <w:p w:rsidR="00112B59" w:rsidRPr="00AB0BAE" w:rsidRDefault="008938D1" w:rsidP="00AB0BAE">
      <w:pPr>
        <w:pStyle w:val="ab"/>
      </w:pPr>
      <w:r>
        <w:lastRenderedPageBreak/>
        <w:t xml:space="preserve">Figure </w:t>
      </w:r>
      <w:r w:rsidR="00760AA3">
        <w:t>1</w:t>
      </w:r>
      <w:r w:rsidR="002B0630">
        <w:t>3</w:t>
      </w:r>
      <w:r w:rsidR="00112B59">
        <w:t>: Rolling correlations of indices and global equities</w:t>
      </w:r>
      <w:bookmarkEnd w:id="47"/>
    </w:p>
    <w:p w:rsidR="006651F8" w:rsidRPr="00B3329E" w:rsidRDefault="006651F8" w:rsidP="00EA6483">
      <w:pPr>
        <w:spacing w:after="0"/>
        <w:rPr>
          <w:rFonts w:ascii="Tahoma" w:hAnsi="Tahoma" w:cs="Tahoma"/>
          <w:color w:val="000000" w:themeColor="text1"/>
        </w:rPr>
      </w:pPr>
      <w:r w:rsidRPr="00B3329E">
        <w:rPr>
          <w:rFonts w:ascii="Tahoma" w:hAnsi="Tahoma" w:cs="Tahoma"/>
          <w:noProof/>
          <w:color w:val="000000" w:themeColor="text1"/>
          <w:sz w:val="18"/>
          <w:szCs w:val="18"/>
          <w:lang w:val="en-US" w:eastAsia="zh-CN"/>
        </w:rPr>
        <w:drawing>
          <wp:inline distT="0" distB="0" distL="0" distR="0" wp14:anchorId="01057AD1" wp14:editId="4A4561AB">
            <wp:extent cx="5692140" cy="2766060"/>
            <wp:effectExtent l="0" t="0" r="381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A6483" w:rsidRDefault="00EA6483" w:rsidP="00EA6483">
      <w:pPr>
        <w:spacing w:after="0"/>
        <w:rPr>
          <w:rFonts w:ascii="Tahoma" w:hAnsi="Tahoma" w:cs="Tahoma"/>
          <w:color w:val="000000" w:themeColor="text1"/>
        </w:rPr>
      </w:pPr>
    </w:p>
    <w:p w:rsidR="00E97A1D" w:rsidRDefault="00E97A1D" w:rsidP="00EA6483">
      <w:pPr>
        <w:spacing w:after="0"/>
        <w:rPr>
          <w:rFonts w:ascii="Tahoma" w:hAnsi="Tahoma" w:cs="Tahoma"/>
          <w:color w:val="000000" w:themeColor="text1"/>
        </w:rPr>
      </w:pPr>
    </w:p>
    <w:p w:rsidR="00CA2821" w:rsidRDefault="00CA2821">
      <w:pPr>
        <w:rPr>
          <w:rFonts w:ascii="Tahoma" w:hAnsi="Tahoma"/>
          <w:bCs/>
          <w:sz w:val="18"/>
        </w:rPr>
      </w:pPr>
      <w:bookmarkStart w:id="48" w:name="_Toc523319902"/>
      <w:r>
        <w:br w:type="page"/>
      </w:r>
    </w:p>
    <w:p w:rsidR="00112B59" w:rsidRDefault="008938D1" w:rsidP="00E97A1D">
      <w:pPr>
        <w:pStyle w:val="ab"/>
      </w:pPr>
      <w:r>
        <w:lastRenderedPageBreak/>
        <w:t xml:space="preserve">Figure </w:t>
      </w:r>
      <w:r w:rsidR="00760AA3">
        <w:t>1</w:t>
      </w:r>
      <w:r w:rsidR="002B0630">
        <w:t>4</w:t>
      </w:r>
      <w:r w:rsidR="00112B59">
        <w:t>: Rolling correlations of indices (global) and global equities</w:t>
      </w:r>
      <w:bookmarkEnd w:id="48"/>
    </w:p>
    <w:p w:rsidR="0097491F" w:rsidRDefault="0097491F" w:rsidP="00EA6483">
      <w:pPr>
        <w:spacing w:after="0"/>
        <w:rPr>
          <w:rFonts w:ascii="Tahoma" w:hAnsi="Tahoma" w:cs="Tahoma"/>
          <w:b/>
          <w:color w:val="000000" w:themeColor="text1"/>
        </w:rPr>
      </w:pPr>
    </w:p>
    <w:p w:rsidR="002C7387" w:rsidRPr="00B3329E" w:rsidRDefault="002C7387" w:rsidP="00EA6483">
      <w:pPr>
        <w:spacing w:after="0"/>
        <w:rPr>
          <w:rFonts w:ascii="Tahoma" w:hAnsi="Tahoma" w:cs="Tahoma"/>
          <w:b/>
          <w:color w:val="000000" w:themeColor="text1"/>
        </w:rPr>
      </w:pPr>
      <w:r w:rsidRPr="00B3329E">
        <w:rPr>
          <w:rFonts w:ascii="Tahoma" w:hAnsi="Tahoma" w:cs="Tahoma"/>
          <w:noProof/>
          <w:color w:val="000000" w:themeColor="text1"/>
          <w:lang w:val="en-US" w:eastAsia="zh-CN"/>
        </w:rPr>
        <w:drawing>
          <wp:inline distT="0" distB="0" distL="0" distR="0" wp14:anchorId="679B97FC" wp14:editId="572279BC">
            <wp:extent cx="5692140" cy="2834640"/>
            <wp:effectExtent l="0" t="0" r="381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C7387" w:rsidRPr="00B3329E" w:rsidRDefault="002C7387" w:rsidP="00EA6483">
      <w:pPr>
        <w:spacing w:after="0"/>
        <w:rPr>
          <w:rFonts w:ascii="Tahoma" w:hAnsi="Tahoma" w:cs="Tahoma"/>
          <w:b/>
          <w:color w:val="000000" w:themeColor="text1"/>
        </w:rPr>
      </w:pPr>
    </w:p>
    <w:p w:rsidR="00EA6483" w:rsidRPr="00B3329E" w:rsidRDefault="00EA6483" w:rsidP="00EA6483">
      <w:pPr>
        <w:spacing w:after="0"/>
        <w:rPr>
          <w:rFonts w:ascii="Tahoma" w:hAnsi="Tahoma" w:cs="Tahoma"/>
          <w:b/>
          <w:color w:val="000000" w:themeColor="text1"/>
        </w:rPr>
      </w:pPr>
    </w:p>
    <w:p w:rsidR="004B4C33" w:rsidRPr="00B3329E" w:rsidRDefault="006A3E42" w:rsidP="00A426E5">
      <w:pPr>
        <w:pStyle w:val="2"/>
        <w:rPr>
          <w:rFonts w:cs="Tahoma"/>
          <w:color w:val="000000" w:themeColor="text1"/>
        </w:rPr>
      </w:pPr>
      <w:bookmarkStart w:id="49" w:name="_Toc523311363"/>
      <w:r w:rsidRPr="00B3329E">
        <w:rPr>
          <w:rFonts w:cs="Tahoma"/>
          <w:color w:val="000000" w:themeColor="text1"/>
        </w:rPr>
        <w:t>5</w:t>
      </w:r>
      <w:r w:rsidR="00645515" w:rsidRPr="00B3329E">
        <w:rPr>
          <w:rFonts w:cs="Tahoma"/>
          <w:color w:val="000000" w:themeColor="text1"/>
        </w:rPr>
        <w:t xml:space="preserve">.3. T-test </w:t>
      </w:r>
      <w:r w:rsidR="004C2C63">
        <w:rPr>
          <w:rFonts w:cs="Tahoma"/>
          <w:color w:val="000000" w:themeColor="text1"/>
        </w:rPr>
        <w:t>r</w:t>
      </w:r>
      <w:r w:rsidR="00645515" w:rsidRPr="00B3329E">
        <w:rPr>
          <w:rFonts w:cs="Tahoma"/>
          <w:color w:val="000000" w:themeColor="text1"/>
        </w:rPr>
        <w:t>esults</w:t>
      </w:r>
      <w:bookmarkEnd w:id="49"/>
    </w:p>
    <w:p w:rsidR="00173EFC" w:rsidRPr="00B3329E" w:rsidRDefault="00173EFC" w:rsidP="00EA6483">
      <w:pPr>
        <w:spacing w:after="0"/>
        <w:rPr>
          <w:rFonts w:ascii="Tahoma" w:hAnsi="Tahoma" w:cs="Tahoma"/>
          <w:b/>
          <w:color w:val="000000" w:themeColor="text1"/>
        </w:rPr>
      </w:pPr>
    </w:p>
    <w:p w:rsidR="00173EFC" w:rsidRPr="00B3329E" w:rsidRDefault="00173EFC" w:rsidP="00EA6483">
      <w:pPr>
        <w:spacing w:after="0"/>
        <w:rPr>
          <w:rFonts w:ascii="Tahoma" w:hAnsi="Tahoma" w:cs="Tahoma"/>
          <w:color w:val="000000" w:themeColor="text1"/>
        </w:rPr>
      </w:pPr>
      <w:r w:rsidRPr="00B3329E">
        <w:rPr>
          <w:rFonts w:ascii="Tahoma" w:hAnsi="Tahoma" w:cs="Tahoma"/>
          <w:color w:val="000000" w:themeColor="text1"/>
        </w:rPr>
        <w:t>This section presents the t-test results that were performed using sample correlation means over the 10 year time period.</w:t>
      </w:r>
    </w:p>
    <w:p w:rsidR="00EA6483" w:rsidRPr="00B3329E" w:rsidRDefault="00EA6483" w:rsidP="00EA6483">
      <w:pPr>
        <w:spacing w:after="0"/>
        <w:rPr>
          <w:rFonts w:ascii="Tahoma" w:hAnsi="Tahoma" w:cs="Tahoma"/>
          <w:b/>
          <w:color w:val="000000" w:themeColor="text1"/>
          <w:u w:val="single"/>
        </w:rPr>
      </w:pPr>
    </w:p>
    <w:p w:rsidR="00A426E5" w:rsidRPr="00B3329E" w:rsidRDefault="00A426E5" w:rsidP="00EA6483">
      <w:pPr>
        <w:spacing w:after="0"/>
        <w:rPr>
          <w:rFonts w:ascii="Tahoma" w:hAnsi="Tahoma" w:cs="Tahoma"/>
          <w:b/>
          <w:color w:val="000000" w:themeColor="text1"/>
          <w:u w:val="single"/>
        </w:rPr>
      </w:pPr>
    </w:p>
    <w:p w:rsidR="00645515" w:rsidRPr="00B3329E" w:rsidRDefault="006A3E42" w:rsidP="00A426E5">
      <w:pPr>
        <w:pStyle w:val="3"/>
        <w:rPr>
          <w:rFonts w:cs="Tahoma"/>
          <w:color w:val="000000" w:themeColor="text1"/>
        </w:rPr>
      </w:pPr>
      <w:bookmarkStart w:id="50" w:name="_Toc523311364"/>
      <w:r w:rsidRPr="00B3329E">
        <w:rPr>
          <w:rFonts w:cs="Tahoma"/>
          <w:color w:val="000000" w:themeColor="text1"/>
        </w:rPr>
        <w:t>5</w:t>
      </w:r>
      <w:r w:rsidR="003E4872" w:rsidRPr="00B3329E">
        <w:rPr>
          <w:rFonts w:cs="Tahoma"/>
          <w:color w:val="000000" w:themeColor="text1"/>
        </w:rPr>
        <w:t xml:space="preserve">.3.1. </w:t>
      </w:r>
      <w:r w:rsidR="00FC4CB0" w:rsidRPr="00B3329E">
        <w:rPr>
          <w:rFonts w:cs="Tahoma"/>
          <w:color w:val="000000" w:themeColor="text1"/>
        </w:rPr>
        <w:t>Infrastructure stocks and active funds</w:t>
      </w:r>
      <w:bookmarkEnd w:id="50"/>
    </w:p>
    <w:p w:rsidR="00EA6483" w:rsidRPr="00B3329E" w:rsidRDefault="00EA6483" w:rsidP="00EA6483">
      <w:pPr>
        <w:spacing w:after="0"/>
        <w:rPr>
          <w:rFonts w:ascii="Tahoma" w:hAnsi="Tahoma" w:cs="Tahoma"/>
          <w:b/>
          <w:color w:val="000000" w:themeColor="text1"/>
        </w:rPr>
      </w:pPr>
    </w:p>
    <w:p w:rsidR="00FC4CB0" w:rsidRPr="00B3329E" w:rsidRDefault="003C7AAB" w:rsidP="00EA6483">
      <w:pPr>
        <w:spacing w:after="0"/>
        <w:rPr>
          <w:rFonts w:ascii="Tahoma" w:hAnsi="Tahoma" w:cs="Tahoma"/>
          <w:color w:val="000000" w:themeColor="text1"/>
        </w:rPr>
      </w:pPr>
      <w:r w:rsidRPr="00B3329E">
        <w:rPr>
          <w:rFonts w:ascii="Tahoma" w:hAnsi="Tahoma" w:cs="Tahoma"/>
          <w:color w:val="000000" w:themeColor="text1"/>
        </w:rPr>
        <w:t xml:space="preserve">A t-test for infrastructure stocks and active funds is </w:t>
      </w:r>
      <w:r w:rsidR="00173EFC" w:rsidRPr="00B3329E">
        <w:rPr>
          <w:rFonts w:ascii="Tahoma" w:hAnsi="Tahoma" w:cs="Tahoma"/>
          <w:color w:val="000000" w:themeColor="text1"/>
        </w:rPr>
        <w:t>un</w:t>
      </w:r>
      <w:r w:rsidRPr="00B3329E">
        <w:rPr>
          <w:rFonts w:ascii="Tahoma" w:hAnsi="Tahoma" w:cs="Tahoma"/>
          <w:color w:val="000000" w:themeColor="text1"/>
        </w:rPr>
        <w:t xml:space="preserve">necessary due to the </w:t>
      </w:r>
      <w:r w:rsidR="00173EFC" w:rsidRPr="00B3329E">
        <w:rPr>
          <w:rFonts w:ascii="Tahoma" w:hAnsi="Tahoma" w:cs="Tahoma"/>
          <w:color w:val="000000" w:themeColor="text1"/>
        </w:rPr>
        <w:t xml:space="preserve">sample of </w:t>
      </w:r>
      <w:r w:rsidRPr="00B3329E">
        <w:rPr>
          <w:rFonts w:ascii="Tahoma" w:hAnsi="Tahoma" w:cs="Tahoma"/>
          <w:color w:val="000000" w:themeColor="text1"/>
        </w:rPr>
        <w:t xml:space="preserve">infrastructure stocks </w:t>
      </w:r>
      <w:r w:rsidR="00FC4CB0" w:rsidRPr="00B3329E">
        <w:rPr>
          <w:rFonts w:ascii="Tahoma" w:hAnsi="Tahoma" w:cs="Tahoma"/>
          <w:color w:val="000000" w:themeColor="text1"/>
        </w:rPr>
        <w:t>having a mean correlation</w:t>
      </w:r>
      <w:r w:rsidR="00173EFC" w:rsidRPr="00B3329E">
        <w:rPr>
          <w:rFonts w:ascii="Tahoma" w:hAnsi="Tahoma" w:cs="Tahoma"/>
          <w:color w:val="000000" w:themeColor="text1"/>
        </w:rPr>
        <w:t xml:space="preserve"> (0.39) </w:t>
      </w:r>
      <w:r w:rsidR="00FC4CB0" w:rsidRPr="00B3329E">
        <w:rPr>
          <w:rFonts w:ascii="Tahoma" w:hAnsi="Tahoma" w:cs="Tahoma"/>
          <w:color w:val="000000" w:themeColor="text1"/>
        </w:rPr>
        <w:t>that is lower than the minimum value in the range of active funds’ correlations</w:t>
      </w:r>
      <w:r w:rsidR="00173EFC" w:rsidRPr="00B3329E">
        <w:rPr>
          <w:rFonts w:ascii="Tahoma" w:hAnsi="Tahoma" w:cs="Tahoma"/>
          <w:color w:val="000000" w:themeColor="text1"/>
        </w:rPr>
        <w:t xml:space="preserve"> (0.40)</w:t>
      </w:r>
      <w:r w:rsidR="00FC4CB0" w:rsidRPr="00B3329E">
        <w:rPr>
          <w:rFonts w:ascii="Tahoma" w:hAnsi="Tahoma" w:cs="Tahoma"/>
          <w:color w:val="000000" w:themeColor="text1"/>
        </w:rPr>
        <w:t xml:space="preserve">.  On this basis, it is not possible for the two samples to have the same mean and we can accept the null hypothesis that active funds </w:t>
      </w:r>
      <w:r w:rsidR="00173EFC" w:rsidRPr="00B3329E">
        <w:rPr>
          <w:rFonts w:ascii="Tahoma" w:hAnsi="Tahoma" w:cs="Tahoma"/>
          <w:color w:val="000000" w:themeColor="text1"/>
        </w:rPr>
        <w:t xml:space="preserve">have </w:t>
      </w:r>
      <w:r w:rsidR="00FC4CB0" w:rsidRPr="00B3329E">
        <w:rPr>
          <w:rFonts w:ascii="Tahoma" w:hAnsi="Tahoma" w:cs="Tahoma"/>
          <w:color w:val="000000" w:themeColor="text1"/>
        </w:rPr>
        <w:t xml:space="preserve">different </w:t>
      </w:r>
      <w:r w:rsidR="00173EFC" w:rsidRPr="00B3329E">
        <w:rPr>
          <w:rFonts w:ascii="Tahoma" w:hAnsi="Tahoma" w:cs="Tahoma"/>
          <w:color w:val="000000" w:themeColor="text1"/>
        </w:rPr>
        <w:t>(higher) correlations</w:t>
      </w:r>
      <w:r w:rsidR="00FC4CB0" w:rsidRPr="00B3329E">
        <w:rPr>
          <w:rFonts w:ascii="Tahoma" w:hAnsi="Tahoma" w:cs="Tahoma"/>
          <w:color w:val="000000" w:themeColor="text1"/>
        </w:rPr>
        <w:t xml:space="preserve"> </w:t>
      </w:r>
      <w:r w:rsidR="00173EFC" w:rsidRPr="00B3329E">
        <w:rPr>
          <w:rFonts w:ascii="Tahoma" w:hAnsi="Tahoma" w:cs="Tahoma"/>
          <w:color w:val="000000" w:themeColor="text1"/>
        </w:rPr>
        <w:t xml:space="preserve">than </w:t>
      </w:r>
      <w:r w:rsidR="00FC4CB0" w:rsidRPr="00B3329E">
        <w:rPr>
          <w:rFonts w:ascii="Tahoma" w:hAnsi="Tahoma" w:cs="Tahoma"/>
          <w:color w:val="000000" w:themeColor="text1"/>
        </w:rPr>
        <w:t>infrastructure stocks</w:t>
      </w:r>
      <w:r w:rsidR="00173EFC" w:rsidRPr="00B3329E">
        <w:rPr>
          <w:rFonts w:ascii="Tahoma" w:hAnsi="Tahoma" w:cs="Tahoma"/>
          <w:color w:val="000000" w:themeColor="text1"/>
        </w:rPr>
        <w:t>.</w:t>
      </w:r>
    </w:p>
    <w:p w:rsidR="00FC4CB0" w:rsidRPr="00B3329E" w:rsidRDefault="00FC4CB0"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FC4CB0" w:rsidRPr="00B3329E" w:rsidRDefault="006A3E42" w:rsidP="00A426E5">
      <w:pPr>
        <w:pStyle w:val="3"/>
        <w:rPr>
          <w:rFonts w:cs="Tahoma"/>
          <w:color w:val="000000" w:themeColor="text1"/>
        </w:rPr>
      </w:pPr>
      <w:bookmarkStart w:id="51" w:name="_Toc523311365"/>
      <w:r w:rsidRPr="00B3329E">
        <w:rPr>
          <w:rFonts w:cs="Tahoma"/>
          <w:color w:val="000000" w:themeColor="text1"/>
        </w:rPr>
        <w:t>5</w:t>
      </w:r>
      <w:r w:rsidR="003E4872" w:rsidRPr="00B3329E">
        <w:rPr>
          <w:rFonts w:cs="Tahoma"/>
          <w:color w:val="000000" w:themeColor="text1"/>
        </w:rPr>
        <w:t xml:space="preserve">.3.2. </w:t>
      </w:r>
      <w:r w:rsidR="00FC4CB0" w:rsidRPr="00B3329E">
        <w:rPr>
          <w:rFonts w:cs="Tahoma"/>
          <w:color w:val="000000" w:themeColor="text1"/>
        </w:rPr>
        <w:t xml:space="preserve">Infrastructure stocks and </w:t>
      </w:r>
      <w:r w:rsidR="004C2C63">
        <w:rPr>
          <w:rFonts w:cs="Tahoma"/>
          <w:color w:val="000000" w:themeColor="text1"/>
        </w:rPr>
        <w:t>i</w:t>
      </w:r>
      <w:r w:rsidR="00FC4CB0" w:rsidRPr="00B3329E">
        <w:rPr>
          <w:rFonts w:cs="Tahoma"/>
          <w:color w:val="000000" w:themeColor="text1"/>
        </w:rPr>
        <w:t>ndices</w:t>
      </w:r>
      <w:bookmarkEnd w:id="51"/>
      <w:r w:rsidR="004C2C63">
        <w:rPr>
          <w:rFonts w:cs="Tahoma"/>
          <w:color w:val="000000" w:themeColor="text1"/>
        </w:rPr>
        <w:t xml:space="preserve"> (all)</w:t>
      </w:r>
    </w:p>
    <w:p w:rsidR="00EA6483" w:rsidRPr="00B3329E" w:rsidRDefault="00EA6483" w:rsidP="00EA6483">
      <w:pPr>
        <w:spacing w:after="0"/>
        <w:rPr>
          <w:rFonts w:ascii="Tahoma" w:hAnsi="Tahoma" w:cs="Tahoma"/>
          <w:b/>
          <w:color w:val="000000" w:themeColor="text1"/>
        </w:rPr>
      </w:pPr>
    </w:p>
    <w:p w:rsidR="00FC4CB0" w:rsidRPr="00B3329E" w:rsidRDefault="00FC4CB0" w:rsidP="00EA6483">
      <w:pPr>
        <w:spacing w:after="0"/>
        <w:rPr>
          <w:rFonts w:ascii="Tahoma" w:hAnsi="Tahoma" w:cs="Tahoma"/>
          <w:color w:val="000000" w:themeColor="text1"/>
        </w:rPr>
      </w:pPr>
      <w:r w:rsidRPr="00B3329E">
        <w:rPr>
          <w:rFonts w:ascii="Tahoma" w:hAnsi="Tahoma" w:cs="Tahoma"/>
          <w:color w:val="000000" w:themeColor="text1"/>
        </w:rPr>
        <w:t xml:space="preserve">A t-test for infrastructure stocks and indices is also </w:t>
      </w:r>
      <w:r w:rsidR="00522C35" w:rsidRPr="00B3329E">
        <w:rPr>
          <w:rFonts w:ascii="Tahoma" w:hAnsi="Tahoma" w:cs="Tahoma"/>
          <w:color w:val="000000" w:themeColor="text1"/>
        </w:rPr>
        <w:t>unnecessary</w:t>
      </w:r>
      <w:r w:rsidRPr="00B3329E">
        <w:rPr>
          <w:rFonts w:ascii="Tahoma" w:hAnsi="Tahoma" w:cs="Tahoma"/>
          <w:color w:val="000000" w:themeColor="text1"/>
        </w:rPr>
        <w:t xml:space="preserve"> due to the infrastructure stocks having a 10 year mean correlation (0.39) that is lower than the mini</w:t>
      </w:r>
      <w:r w:rsidR="004C2C63">
        <w:rPr>
          <w:rFonts w:ascii="Tahoma" w:hAnsi="Tahoma" w:cs="Tahoma"/>
          <w:color w:val="000000" w:themeColor="text1"/>
        </w:rPr>
        <w:t>mum value in the range of indices</w:t>
      </w:r>
      <w:r w:rsidRPr="00B3329E">
        <w:rPr>
          <w:rFonts w:ascii="Tahoma" w:hAnsi="Tahoma" w:cs="Tahoma"/>
          <w:color w:val="000000" w:themeColor="text1"/>
        </w:rPr>
        <w:t xml:space="preserve"> correlations (0.76).  </w:t>
      </w:r>
      <w:r w:rsidR="00522C35" w:rsidRPr="00B3329E">
        <w:rPr>
          <w:rFonts w:ascii="Tahoma" w:hAnsi="Tahoma" w:cs="Tahoma"/>
          <w:color w:val="000000" w:themeColor="text1"/>
        </w:rPr>
        <w:t xml:space="preserve">The </w:t>
      </w:r>
      <w:r w:rsidRPr="00B3329E">
        <w:rPr>
          <w:rFonts w:ascii="Tahoma" w:hAnsi="Tahoma" w:cs="Tahoma"/>
          <w:color w:val="000000" w:themeColor="text1"/>
        </w:rPr>
        <w:t xml:space="preserve">null hypothesis </w:t>
      </w:r>
      <w:r w:rsidR="00522C35" w:rsidRPr="00B3329E">
        <w:rPr>
          <w:rFonts w:ascii="Tahoma" w:hAnsi="Tahoma" w:cs="Tahoma"/>
          <w:color w:val="000000" w:themeColor="text1"/>
        </w:rPr>
        <w:t xml:space="preserve">can be rejected and the alternative that indices do not have equal </w:t>
      </w:r>
      <w:r w:rsidRPr="00B3329E">
        <w:rPr>
          <w:rFonts w:ascii="Tahoma" w:hAnsi="Tahoma" w:cs="Tahoma"/>
          <w:color w:val="000000" w:themeColor="text1"/>
        </w:rPr>
        <w:t>correla</w:t>
      </w:r>
      <w:r w:rsidR="00173EFC" w:rsidRPr="00B3329E">
        <w:rPr>
          <w:rFonts w:ascii="Tahoma" w:hAnsi="Tahoma" w:cs="Tahoma"/>
          <w:color w:val="000000" w:themeColor="text1"/>
        </w:rPr>
        <w:t>tions to infrastructure stocks and are significantly higher.</w:t>
      </w:r>
    </w:p>
    <w:p w:rsidR="00522C35" w:rsidRPr="00B3329E" w:rsidRDefault="00522C35"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522C35" w:rsidRPr="00B3329E" w:rsidRDefault="006A3E42" w:rsidP="00A426E5">
      <w:pPr>
        <w:pStyle w:val="3"/>
        <w:rPr>
          <w:rFonts w:cs="Tahoma"/>
          <w:color w:val="000000" w:themeColor="text1"/>
        </w:rPr>
      </w:pPr>
      <w:bookmarkStart w:id="52" w:name="_Toc523311366"/>
      <w:r w:rsidRPr="00B3329E">
        <w:rPr>
          <w:rFonts w:cs="Tahoma"/>
          <w:color w:val="000000" w:themeColor="text1"/>
        </w:rPr>
        <w:t>5</w:t>
      </w:r>
      <w:r w:rsidR="003E4872" w:rsidRPr="00B3329E">
        <w:rPr>
          <w:rFonts w:cs="Tahoma"/>
          <w:color w:val="000000" w:themeColor="text1"/>
        </w:rPr>
        <w:t xml:space="preserve">.3.3. </w:t>
      </w:r>
      <w:r w:rsidR="00D57436" w:rsidRPr="00B3329E">
        <w:rPr>
          <w:rFonts w:cs="Tahoma"/>
          <w:color w:val="000000" w:themeColor="text1"/>
        </w:rPr>
        <w:t>Active funds and indices (global)</w:t>
      </w:r>
      <w:bookmarkEnd w:id="52"/>
    </w:p>
    <w:p w:rsidR="00EA6483" w:rsidRPr="00B3329E" w:rsidRDefault="00EA6483" w:rsidP="00EA6483">
      <w:pPr>
        <w:spacing w:after="0"/>
        <w:rPr>
          <w:rFonts w:ascii="Tahoma" w:hAnsi="Tahoma" w:cs="Tahoma"/>
          <w:b/>
          <w:color w:val="000000" w:themeColor="text1"/>
        </w:rPr>
      </w:pPr>
    </w:p>
    <w:p w:rsidR="00645F71" w:rsidRPr="00B3329E" w:rsidRDefault="00485040" w:rsidP="00EA6483">
      <w:pPr>
        <w:spacing w:after="0"/>
        <w:rPr>
          <w:rFonts w:ascii="Tahoma" w:hAnsi="Tahoma" w:cs="Tahoma"/>
          <w:b/>
          <w:color w:val="000000" w:themeColor="text1"/>
        </w:rPr>
      </w:pPr>
      <w:r w:rsidRPr="00B3329E">
        <w:rPr>
          <w:rFonts w:ascii="Tahoma" w:hAnsi="Tahoma" w:cs="Tahoma"/>
          <w:color w:val="000000" w:themeColor="text1"/>
        </w:rPr>
        <w:t>The sample</w:t>
      </w:r>
      <w:r w:rsidR="00634317" w:rsidRPr="00B3329E">
        <w:rPr>
          <w:rFonts w:ascii="Tahoma" w:hAnsi="Tahoma" w:cs="Tahoma"/>
          <w:color w:val="000000" w:themeColor="text1"/>
        </w:rPr>
        <w:t>s</w:t>
      </w:r>
      <w:r w:rsidRPr="00B3329E">
        <w:rPr>
          <w:rFonts w:ascii="Tahoma" w:hAnsi="Tahoma" w:cs="Tahoma"/>
          <w:color w:val="000000" w:themeColor="text1"/>
        </w:rPr>
        <w:t xml:space="preserve"> of active funds and indices have closer mean correlation</w:t>
      </w:r>
      <w:r w:rsidR="00634317" w:rsidRPr="00B3329E">
        <w:rPr>
          <w:rFonts w:ascii="Tahoma" w:hAnsi="Tahoma" w:cs="Tahoma"/>
          <w:color w:val="000000" w:themeColor="text1"/>
        </w:rPr>
        <w:t>s</w:t>
      </w:r>
      <w:r w:rsidRPr="00B3329E">
        <w:rPr>
          <w:rFonts w:ascii="Tahoma" w:hAnsi="Tahoma" w:cs="Tahoma"/>
          <w:color w:val="000000" w:themeColor="text1"/>
        </w:rPr>
        <w:t xml:space="preserve"> and ranges that overlap so a t-test </w:t>
      </w:r>
      <w:r w:rsidR="00634317" w:rsidRPr="00B3329E">
        <w:rPr>
          <w:rFonts w:ascii="Tahoma" w:hAnsi="Tahoma" w:cs="Tahoma"/>
          <w:color w:val="000000" w:themeColor="text1"/>
        </w:rPr>
        <w:t xml:space="preserve">is a </w:t>
      </w:r>
      <w:r w:rsidRPr="00B3329E">
        <w:rPr>
          <w:rFonts w:ascii="Tahoma" w:hAnsi="Tahoma" w:cs="Tahoma"/>
          <w:color w:val="000000" w:themeColor="text1"/>
        </w:rPr>
        <w:t xml:space="preserve">useful </w:t>
      </w:r>
      <w:r w:rsidR="00634317" w:rsidRPr="00B3329E">
        <w:rPr>
          <w:rFonts w:ascii="Tahoma" w:hAnsi="Tahoma" w:cs="Tahoma"/>
          <w:color w:val="000000" w:themeColor="text1"/>
        </w:rPr>
        <w:t>for comparison</w:t>
      </w:r>
      <w:r w:rsidRPr="00B3329E">
        <w:rPr>
          <w:rFonts w:ascii="Tahoma" w:hAnsi="Tahoma" w:cs="Tahoma"/>
          <w:color w:val="000000" w:themeColor="text1"/>
        </w:rPr>
        <w:t>.  At the 0.05 sign</w:t>
      </w:r>
      <w:r w:rsidR="00D34710" w:rsidRPr="00B3329E">
        <w:rPr>
          <w:rFonts w:ascii="Tahoma" w:hAnsi="Tahoma" w:cs="Tahoma"/>
          <w:color w:val="000000" w:themeColor="text1"/>
        </w:rPr>
        <w:t>i</w:t>
      </w:r>
      <w:r w:rsidRPr="00B3329E">
        <w:rPr>
          <w:rFonts w:ascii="Tahoma" w:hAnsi="Tahoma" w:cs="Tahoma"/>
          <w:color w:val="000000" w:themeColor="text1"/>
        </w:rPr>
        <w:t xml:space="preserve">ficance level there is a very </w:t>
      </w:r>
      <w:r w:rsidRPr="00B3329E">
        <w:rPr>
          <w:rFonts w:ascii="Tahoma" w:hAnsi="Tahoma" w:cs="Tahoma"/>
          <w:color w:val="000000" w:themeColor="text1"/>
        </w:rPr>
        <w:lastRenderedPageBreak/>
        <w:t xml:space="preserve">low p-value </w:t>
      </w:r>
      <w:r w:rsidR="00D34710" w:rsidRPr="00B3329E">
        <w:rPr>
          <w:rFonts w:ascii="Tahoma" w:hAnsi="Tahoma" w:cs="Tahoma"/>
          <w:color w:val="000000" w:themeColor="text1"/>
        </w:rPr>
        <w:t xml:space="preserve">(0.00000002) </w:t>
      </w:r>
      <w:r w:rsidRPr="00B3329E">
        <w:rPr>
          <w:rFonts w:ascii="Tahoma" w:hAnsi="Tahoma" w:cs="Tahoma"/>
          <w:color w:val="000000" w:themeColor="text1"/>
        </w:rPr>
        <w:t>indicating that the null hypothesis can be rejected and the alternative hypothesis that active funds and indices (global) do not have the same correlation</w:t>
      </w:r>
      <w:r w:rsidR="00173EFC" w:rsidRPr="00B3329E">
        <w:rPr>
          <w:rFonts w:ascii="Tahoma" w:hAnsi="Tahoma" w:cs="Tahoma"/>
          <w:color w:val="000000" w:themeColor="text1"/>
        </w:rPr>
        <w:t xml:space="preserve"> but active funds have significantly lower correlation.</w:t>
      </w:r>
    </w:p>
    <w:p w:rsidR="0097491F" w:rsidRDefault="0097491F" w:rsidP="0097491F">
      <w:pPr>
        <w:spacing w:after="0"/>
        <w:rPr>
          <w:rFonts w:ascii="Tahoma" w:hAnsi="Tahoma" w:cs="Tahoma"/>
          <w:color w:val="000000" w:themeColor="text1"/>
          <w:sz w:val="18"/>
          <w:szCs w:val="18"/>
        </w:rPr>
      </w:pPr>
    </w:p>
    <w:p w:rsidR="00EA6483" w:rsidRPr="00B3329E" w:rsidRDefault="00EA6483" w:rsidP="00EA6483">
      <w:pPr>
        <w:spacing w:after="0"/>
        <w:rPr>
          <w:rFonts w:ascii="Tahoma" w:hAnsi="Tahoma" w:cs="Tahoma"/>
          <w:b/>
          <w:color w:val="000000" w:themeColor="text1"/>
        </w:rPr>
      </w:pPr>
    </w:p>
    <w:p w:rsidR="00D34710" w:rsidRPr="00B3329E" w:rsidRDefault="006A3E42" w:rsidP="00A426E5">
      <w:pPr>
        <w:pStyle w:val="3"/>
        <w:rPr>
          <w:rFonts w:cs="Tahoma"/>
          <w:color w:val="000000" w:themeColor="text1"/>
        </w:rPr>
      </w:pPr>
      <w:bookmarkStart w:id="53" w:name="_Toc523311367"/>
      <w:r w:rsidRPr="00B3329E">
        <w:rPr>
          <w:rFonts w:cs="Tahoma"/>
          <w:color w:val="000000" w:themeColor="text1"/>
        </w:rPr>
        <w:t>5</w:t>
      </w:r>
      <w:r w:rsidR="003E4872" w:rsidRPr="00B3329E">
        <w:rPr>
          <w:rFonts w:cs="Tahoma"/>
          <w:color w:val="000000" w:themeColor="text1"/>
        </w:rPr>
        <w:t xml:space="preserve">.3.4. </w:t>
      </w:r>
      <w:r w:rsidR="00D34710" w:rsidRPr="00B3329E">
        <w:rPr>
          <w:rFonts w:cs="Tahoma"/>
          <w:color w:val="000000" w:themeColor="text1"/>
        </w:rPr>
        <w:t>Infrastructure stocks –</w:t>
      </w:r>
      <w:r w:rsidR="004C2C63">
        <w:rPr>
          <w:rFonts w:cs="Tahoma"/>
          <w:color w:val="000000" w:themeColor="text1"/>
        </w:rPr>
        <w:t xml:space="preserve"> </w:t>
      </w:r>
      <w:r w:rsidR="00D34710" w:rsidRPr="00B3329E">
        <w:rPr>
          <w:rFonts w:cs="Tahoma"/>
          <w:color w:val="000000" w:themeColor="text1"/>
        </w:rPr>
        <w:t xml:space="preserve">MSCI </w:t>
      </w:r>
      <w:r w:rsidR="004C2C63">
        <w:rPr>
          <w:rFonts w:cs="Tahoma"/>
          <w:color w:val="000000" w:themeColor="text1"/>
        </w:rPr>
        <w:t xml:space="preserve">World </w:t>
      </w:r>
      <w:r w:rsidR="00D34710" w:rsidRPr="00B3329E">
        <w:rPr>
          <w:rFonts w:cs="Tahoma"/>
          <w:color w:val="000000" w:themeColor="text1"/>
        </w:rPr>
        <w:t>overlap</w:t>
      </w:r>
      <w:bookmarkEnd w:id="53"/>
    </w:p>
    <w:p w:rsidR="00EA6483" w:rsidRPr="00B3329E" w:rsidRDefault="00EA6483" w:rsidP="00EA6483">
      <w:pPr>
        <w:spacing w:after="0"/>
        <w:rPr>
          <w:rFonts w:ascii="Tahoma" w:hAnsi="Tahoma" w:cs="Tahoma"/>
          <w:b/>
          <w:color w:val="000000" w:themeColor="text1"/>
        </w:rPr>
      </w:pPr>
    </w:p>
    <w:p w:rsidR="00D34710" w:rsidRPr="00B3329E" w:rsidRDefault="00A205CA" w:rsidP="00EA6483">
      <w:pPr>
        <w:spacing w:after="0"/>
        <w:rPr>
          <w:rFonts w:ascii="Tahoma" w:hAnsi="Tahoma" w:cs="Tahoma"/>
          <w:color w:val="000000" w:themeColor="text1"/>
        </w:rPr>
      </w:pPr>
      <w:r w:rsidRPr="00B3329E">
        <w:rPr>
          <w:rFonts w:ascii="Tahoma" w:hAnsi="Tahoma" w:cs="Tahoma"/>
          <w:color w:val="000000" w:themeColor="text1"/>
        </w:rPr>
        <w:t xml:space="preserve">This t-test is to determine </w:t>
      </w:r>
      <w:r w:rsidR="00000FCD">
        <w:rPr>
          <w:rFonts w:ascii="Tahoma" w:hAnsi="Tahoma" w:cs="Tahoma"/>
          <w:color w:val="000000" w:themeColor="text1"/>
        </w:rPr>
        <w:t xml:space="preserve">if </w:t>
      </w:r>
      <w:r w:rsidRPr="00B3329E">
        <w:rPr>
          <w:rFonts w:ascii="Tahoma" w:hAnsi="Tahoma" w:cs="Tahoma"/>
          <w:color w:val="000000" w:themeColor="text1"/>
        </w:rPr>
        <w:t>being a constituent in the MSCI World impacts a stock</w:t>
      </w:r>
      <w:r w:rsidR="00000FCD">
        <w:rPr>
          <w:rFonts w:ascii="Tahoma" w:hAnsi="Tahoma" w:cs="Tahoma"/>
          <w:color w:val="000000" w:themeColor="text1"/>
        </w:rPr>
        <w:t>’</w:t>
      </w:r>
      <w:r w:rsidRPr="00B3329E">
        <w:rPr>
          <w:rFonts w:ascii="Tahoma" w:hAnsi="Tahoma" w:cs="Tahoma"/>
          <w:color w:val="000000" w:themeColor="text1"/>
        </w:rPr>
        <w:t>s correlation with global equities.  Performing a t-test for</w:t>
      </w:r>
      <w:r w:rsidR="00D34710" w:rsidRPr="00B3329E">
        <w:rPr>
          <w:rFonts w:ascii="Tahoma" w:hAnsi="Tahoma" w:cs="Tahoma"/>
          <w:color w:val="000000" w:themeColor="text1"/>
        </w:rPr>
        <w:t xml:space="preserve"> the sample means </w:t>
      </w:r>
      <w:r w:rsidRPr="00B3329E">
        <w:rPr>
          <w:rFonts w:ascii="Tahoma" w:hAnsi="Tahoma" w:cs="Tahoma"/>
          <w:color w:val="000000" w:themeColor="text1"/>
        </w:rPr>
        <w:t>of</w:t>
      </w:r>
      <w:r w:rsidR="00D34710" w:rsidRPr="00B3329E">
        <w:rPr>
          <w:rFonts w:ascii="Tahoma" w:hAnsi="Tahoma" w:cs="Tahoma"/>
          <w:color w:val="000000" w:themeColor="text1"/>
        </w:rPr>
        <w:t xml:space="preserve"> the subset of infrastructure stocks that are also present in the MSCI World and infrastructure stocks that are not in the MSCI World results in a p-value of 0.002</w:t>
      </w:r>
      <w:r w:rsidR="003E4872" w:rsidRPr="00B3329E">
        <w:rPr>
          <w:rFonts w:ascii="Tahoma" w:hAnsi="Tahoma" w:cs="Tahoma"/>
          <w:color w:val="000000" w:themeColor="text1"/>
        </w:rPr>
        <w:t xml:space="preserve">.  </w:t>
      </w:r>
      <w:r w:rsidRPr="00B3329E">
        <w:rPr>
          <w:rFonts w:ascii="Tahoma" w:hAnsi="Tahoma" w:cs="Tahoma"/>
          <w:color w:val="000000" w:themeColor="text1"/>
        </w:rPr>
        <w:t xml:space="preserve">The null hypothesis can be rejected and the alternative can be accepted, confirming that </w:t>
      </w:r>
      <w:r w:rsidR="003E4872" w:rsidRPr="00B3329E">
        <w:rPr>
          <w:rFonts w:ascii="Tahoma" w:hAnsi="Tahoma" w:cs="Tahoma"/>
          <w:color w:val="000000" w:themeColor="text1"/>
        </w:rPr>
        <w:t>infrastructure stocks that are present in the MSCI World have</w:t>
      </w:r>
      <w:r w:rsidRPr="00B3329E">
        <w:rPr>
          <w:rFonts w:ascii="Tahoma" w:hAnsi="Tahoma" w:cs="Tahoma"/>
          <w:color w:val="000000" w:themeColor="text1"/>
        </w:rPr>
        <w:t xml:space="preserve"> significantly</w:t>
      </w:r>
      <w:r w:rsidR="003E4872" w:rsidRPr="00B3329E">
        <w:rPr>
          <w:rFonts w:ascii="Tahoma" w:hAnsi="Tahoma" w:cs="Tahoma"/>
          <w:color w:val="000000" w:themeColor="text1"/>
        </w:rPr>
        <w:t xml:space="preserve"> higher correlation than the </w:t>
      </w:r>
      <w:r w:rsidRPr="00B3329E">
        <w:rPr>
          <w:rFonts w:ascii="Tahoma" w:hAnsi="Tahoma" w:cs="Tahoma"/>
          <w:color w:val="000000" w:themeColor="text1"/>
        </w:rPr>
        <w:t xml:space="preserve">infrastructure </w:t>
      </w:r>
      <w:r w:rsidR="003E4872" w:rsidRPr="00B3329E">
        <w:rPr>
          <w:rFonts w:ascii="Tahoma" w:hAnsi="Tahoma" w:cs="Tahoma"/>
          <w:color w:val="000000" w:themeColor="text1"/>
        </w:rPr>
        <w:t xml:space="preserve">stocks that are absent. </w:t>
      </w:r>
    </w:p>
    <w:p w:rsidR="00485040" w:rsidRDefault="00485040" w:rsidP="00EA6483">
      <w:pPr>
        <w:spacing w:after="0"/>
        <w:rPr>
          <w:rFonts w:ascii="Tahoma" w:hAnsi="Tahoma" w:cs="Tahoma"/>
          <w:b/>
          <w:color w:val="000000" w:themeColor="text1"/>
        </w:rPr>
      </w:pPr>
    </w:p>
    <w:p w:rsidR="004B4C33" w:rsidRPr="00B3329E" w:rsidRDefault="006A3E42" w:rsidP="002947E6">
      <w:pPr>
        <w:pStyle w:val="1"/>
        <w:rPr>
          <w:rFonts w:cs="Tahoma"/>
          <w:color w:val="000000" w:themeColor="text1"/>
        </w:rPr>
      </w:pPr>
      <w:bookmarkStart w:id="54" w:name="_Toc523311368"/>
      <w:r w:rsidRPr="00B3329E">
        <w:rPr>
          <w:rFonts w:cs="Tahoma"/>
          <w:color w:val="000000" w:themeColor="text1"/>
        </w:rPr>
        <w:t>6</w:t>
      </w:r>
      <w:r w:rsidR="002947E6" w:rsidRPr="00B3329E">
        <w:rPr>
          <w:rFonts w:cs="Tahoma"/>
          <w:color w:val="000000" w:themeColor="text1"/>
        </w:rPr>
        <w:t>.</w:t>
      </w:r>
      <w:r w:rsidR="006F1995" w:rsidRPr="00B3329E">
        <w:rPr>
          <w:rFonts w:cs="Tahoma"/>
          <w:color w:val="000000" w:themeColor="text1"/>
        </w:rPr>
        <w:t xml:space="preserve"> Discussion</w:t>
      </w:r>
      <w:bookmarkEnd w:id="54"/>
    </w:p>
    <w:p w:rsidR="00EA6483" w:rsidRPr="00B3329E" w:rsidRDefault="00EA6483" w:rsidP="00EA6483">
      <w:pPr>
        <w:spacing w:after="0"/>
        <w:rPr>
          <w:rFonts w:ascii="Tahoma" w:hAnsi="Tahoma" w:cs="Tahoma"/>
          <w:b/>
          <w:color w:val="000000" w:themeColor="text1"/>
        </w:rPr>
      </w:pPr>
    </w:p>
    <w:p w:rsidR="002E4299" w:rsidRPr="004C2C63" w:rsidRDefault="006A3E42" w:rsidP="00A426E5">
      <w:pPr>
        <w:pStyle w:val="2"/>
        <w:rPr>
          <w:rFonts w:cs="Tahoma"/>
          <w:color w:val="000000" w:themeColor="text1"/>
        </w:rPr>
      </w:pPr>
      <w:bookmarkStart w:id="55" w:name="_Toc523311369"/>
      <w:r w:rsidRPr="00B3329E">
        <w:rPr>
          <w:rFonts w:cs="Tahoma"/>
          <w:color w:val="000000" w:themeColor="text1"/>
        </w:rPr>
        <w:t>6</w:t>
      </w:r>
      <w:r w:rsidR="003E4872" w:rsidRPr="00B3329E">
        <w:rPr>
          <w:rFonts w:cs="Tahoma"/>
          <w:color w:val="000000" w:themeColor="text1"/>
        </w:rPr>
        <w:t>.1.</w:t>
      </w:r>
      <w:r w:rsidR="006C2F68" w:rsidRPr="00B3329E">
        <w:rPr>
          <w:rFonts w:cs="Tahoma"/>
          <w:color w:val="000000" w:themeColor="text1"/>
        </w:rPr>
        <w:t xml:space="preserve"> </w:t>
      </w:r>
      <w:r w:rsidR="0077585C" w:rsidRPr="00B3329E">
        <w:rPr>
          <w:rFonts w:cs="Tahoma"/>
          <w:color w:val="000000" w:themeColor="text1"/>
        </w:rPr>
        <w:t>I</w:t>
      </w:r>
      <w:r w:rsidR="006C2F68" w:rsidRPr="00B3329E">
        <w:rPr>
          <w:rFonts w:cs="Tahoma"/>
          <w:color w:val="000000" w:themeColor="text1"/>
        </w:rPr>
        <w:t>nfras</w:t>
      </w:r>
      <w:r w:rsidR="0077585C" w:rsidRPr="00B3329E">
        <w:rPr>
          <w:rFonts w:cs="Tahoma"/>
          <w:color w:val="000000" w:themeColor="text1"/>
        </w:rPr>
        <w:t xml:space="preserve">tructure </w:t>
      </w:r>
      <w:r w:rsidR="004C2C63">
        <w:rPr>
          <w:rFonts w:cs="Tahoma"/>
          <w:color w:val="000000" w:themeColor="text1"/>
        </w:rPr>
        <w:t>s</w:t>
      </w:r>
      <w:r w:rsidR="006C2F68" w:rsidRPr="004C2C63">
        <w:rPr>
          <w:rFonts w:cs="Tahoma"/>
          <w:color w:val="000000" w:themeColor="text1"/>
        </w:rPr>
        <w:t>tocks</w:t>
      </w:r>
      <w:bookmarkEnd w:id="55"/>
    </w:p>
    <w:p w:rsidR="00EA6483" w:rsidRPr="004C2C63" w:rsidRDefault="00EA6483" w:rsidP="00EA6483">
      <w:pPr>
        <w:spacing w:after="0"/>
        <w:rPr>
          <w:rFonts w:ascii="Tahoma" w:hAnsi="Tahoma" w:cs="Tahoma"/>
          <w:color w:val="000000" w:themeColor="text1"/>
        </w:rPr>
      </w:pPr>
    </w:p>
    <w:p w:rsidR="00C8315D" w:rsidRPr="00B3329E" w:rsidRDefault="00E57112" w:rsidP="00EA6483">
      <w:pPr>
        <w:spacing w:after="0"/>
        <w:rPr>
          <w:rFonts w:ascii="Tahoma" w:hAnsi="Tahoma" w:cs="Tahoma"/>
          <w:b/>
          <w:color w:val="000000" w:themeColor="text1"/>
        </w:rPr>
      </w:pPr>
      <w:r w:rsidRPr="004C2C63">
        <w:rPr>
          <w:rFonts w:ascii="Tahoma" w:hAnsi="Tahoma" w:cs="Tahoma"/>
          <w:color w:val="000000" w:themeColor="text1"/>
        </w:rPr>
        <w:t>Infrastructure stocks</w:t>
      </w:r>
      <w:r w:rsidRPr="00B3329E">
        <w:rPr>
          <w:rFonts w:ascii="Tahoma" w:hAnsi="Tahoma" w:cs="Tahoma"/>
          <w:color w:val="000000" w:themeColor="text1"/>
        </w:rPr>
        <w:t xml:space="preserve"> have generated returns that have negligible to low correlation with equities both over the long-term and </w:t>
      </w:r>
      <w:r w:rsidR="005C54D5" w:rsidRPr="00B3329E">
        <w:rPr>
          <w:rFonts w:ascii="Tahoma" w:hAnsi="Tahoma" w:cs="Tahoma"/>
          <w:color w:val="000000" w:themeColor="text1"/>
        </w:rPr>
        <w:t>across</w:t>
      </w:r>
      <w:r w:rsidRPr="00B3329E">
        <w:rPr>
          <w:rFonts w:ascii="Tahoma" w:hAnsi="Tahoma" w:cs="Tahoma"/>
          <w:color w:val="000000" w:themeColor="text1"/>
        </w:rPr>
        <w:t xml:space="preserve"> many shorter time periods.  This finding supports conclusions in previous studies by </w:t>
      </w:r>
      <w:r w:rsidR="002E4299" w:rsidRPr="00B3329E">
        <w:rPr>
          <w:rFonts w:ascii="Tahoma" w:hAnsi="Tahoma" w:cs="Tahoma"/>
          <w:color w:val="000000" w:themeColor="text1"/>
        </w:rPr>
        <w:t xml:space="preserve">Oyodele </w:t>
      </w:r>
      <w:r w:rsidR="005C54D5" w:rsidRPr="00B3329E">
        <w:rPr>
          <w:rFonts w:ascii="Tahoma" w:hAnsi="Tahoma" w:cs="Tahoma"/>
          <w:color w:val="000000" w:themeColor="text1"/>
        </w:rPr>
        <w:t xml:space="preserve">et al </w:t>
      </w:r>
      <w:r w:rsidR="002E4299" w:rsidRPr="00B3329E">
        <w:rPr>
          <w:rFonts w:ascii="Tahoma" w:hAnsi="Tahoma" w:cs="Tahoma"/>
          <w:color w:val="000000" w:themeColor="text1"/>
        </w:rPr>
        <w:t>(2</w:t>
      </w:r>
      <w:r w:rsidR="00F8109D" w:rsidRPr="00B3329E">
        <w:rPr>
          <w:rFonts w:ascii="Tahoma" w:hAnsi="Tahoma" w:cs="Tahoma"/>
          <w:color w:val="000000" w:themeColor="text1"/>
        </w:rPr>
        <w:t>013</w:t>
      </w:r>
      <w:r w:rsidR="002E4299" w:rsidRPr="00B3329E">
        <w:rPr>
          <w:rFonts w:ascii="Tahoma" w:hAnsi="Tahoma" w:cs="Tahoma"/>
          <w:color w:val="000000" w:themeColor="text1"/>
        </w:rPr>
        <w:t xml:space="preserve">) and </w:t>
      </w:r>
      <w:r w:rsidR="002B675F" w:rsidRPr="00B3329E">
        <w:rPr>
          <w:rFonts w:ascii="Tahoma" w:hAnsi="Tahoma" w:cs="Tahoma"/>
          <w:color w:val="000000" w:themeColor="text1"/>
        </w:rPr>
        <w:t>Newell and Peng</w:t>
      </w:r>
      <w:r w:rsidR="002E4299" w:rsidRPr="00B3329E">
        <w:rPr>
          <w:rFonts w:ascii="Tahoma" w:hAnsi="Tahoma" w:cs="Tahoma"/>
          <w:color w:val="000000" w:themeColor="text1"/>
        </w:rPr>
        <w:t xml:space="preserve"> (2</w:t>
      </w:r>
      <w:r w:rsidR="002B675F" w:rsidRPr="00B3329E">
        <w:rPr>
          <w:rFonts w:ascii="Tahoma" w:hAnsi="Tahoma" w:cs="Tahoma"/>
          <w:color w:val="000000" w:themeColor="text1"/>
        </w:rPr>
        <w:t>007)</w:t>
      </w:r>
      <w:r w:rsidR="00FA70F2" w:rsidRPr="00B3329E">
        <w:rPr>
          <w:rFonts w:ascii="Tahoma" w:hAnsi="Tahoma" w:cs="Tahoma"/>
          <w:color w:val="000000" w:themeColor="text1"/>
        </w:rPr>
        <w:t xml:space="preserve"> that infrastructure stocks have provided diversification to equities</w:t>
      </w:r>
      <w:r w:rsidRPr="00B3329E">
        <w:rPr>
          <w:rFonts w:ascii="Tahoma" w:hAnsi="Tahoma" w:cs="Tahoma"/>
          <w:color w:val="000000" w:themeColor="text1"/>
        </w:rPr>
        <w:t xml:space="preserve">.  </w:t>
      </w:r>
    </w:p>
    <w:p w:rsidR="008D4CA6" w:rsidRPr="00B3329E" w:rsidRDefault="008D4CA6" w:rsidP="008D4CA6">
      <w:pPr>
        <w:spacing w:after="0"/>
        <w:rPr>
          <w:rFonts w:ascii="Tahoma" w:hAnsi="Tahoma" w:cs="Tahoma"/>
          <w:color w:val="000000" w:themeColor="text1"/>
        </w:rPr>
      </w:pPr>
    </w:p>
    <w:p w:rsidR="008D4CA6" w:rsidRPr="00B3329E" w:rsidRDefault="008D4CA6" w:rsidP="008D4CA6">
      <w:pPr>
        <w:spacing w:after="0"/>
        <w:rPr>
          <w:rFonts w:ascii="Tahoma" w:hAnsi="Tahoma" w:cs="Tahoma"/>
          <w:color w:val="000000" w:themeColor="text1"/>
        </w:rPr>
      </w:pPr>
      <w:r w:rsidRPr="00B3329E">
        <w:rPr>
          <w:rFonts w:ascii="Tahoma" w:hAnsi="Tahoma" w:cs="Tahoma"/>
          <w:color w:val="000000" w:themeColor="text1"/>
        </w:rPr>
        <w:t xml:space="preserve">Oyodele et al’s (2014) theory appears to fit global listed infrastructure, specifically that there are different levels of diversification across infrastructure sectors and these </w:t>
      </w:r>
      <w:r>
        <w:rPr>
          <w:rFonts w:ascii="Tahoma" w:hAnsi="Tahoma" w:cs="Tahoma"/>
          <w:color w:val="000000" w:themeColor="text1"/>
        </w:rPr>
        <w:t xml:space="preserve">may </w:t>
      </w:r>
      <w:r w:rsidRPr="00B3329E">
        <w:rPr>
          <w:rFonts w:ascii="Tahoma" w:hAnsi="Tahoma" w:cs="Tahoma"/>
          <w:color w:val="000000" w:themeColor="text1"/>
        </w:rPr>
        <w:t xml:space="preserve">be explained by sensitivity to the economic sensitivity, revenue drivers, demand elasticity and regulatory risk.  This </w:t>
      </w:r>
      <w:r>
        <w:rPr>
          <w:rFonts w:ascii="Tahoma" w:hAnsi="Tahoma" w:cs="Tahoma"/>
          <w:color w:val="000000" w:themeColor="text1"/>
        </w:rPr>
        <w:t xml:space="preserve">divergence </w:t>
      </w:r>
      <w:r w:rsidRPr="00B3329E">
        <w:rPr>
          <w:rFonts w:ascii="Tahoma" w:hAnsi="Tahoma" w:cs="Tahoma"/>
          <w:color w:val="000000" w:themeColor="text1"/>
        </w:rPr>
        <w:t>across sectors undermines the case that listed infrastructure is a single asset class, as per the conditions set by Amenc et al (2012).</w:t>
      </w:r>
    </w:p>
    <w:p w:rsidR="005C54D5" w:rsidRPr="00B3329E" w:rsidRDefault="005C54D5" w:rsidP="00EA6483">
      <w:pPr>
        <w:spacing w:after="0"/>
        <w:rPr>
          <w:rFonts w:ascii="Tahoma" w:hAnsi="Tahoma" w:cs="Tahoma"/>
          <w:color w:val="000000" w:themeColor="text1"/>
        </w:rPr>
      </w:pPr>
    </w:p>
    <w:p w:rsidR="0039406A" w:rsidRPr="00B3329E" w:rsidRDefault="00C8315D" w:rsidP="00EA6483">
      <w:pPr>
        <w:spacing w:after="0"/>
        <w:rPr>
          <w:rFonts w:ascii="Tahoma" w:hAnsi="Tahoma" w:cs="Tahoma"/>
          <w:color w:val="000000" w:themeColor="text1"/>
        </w:rPr>
      </w:pPr>
      <w:r w:rsidRPr="00B3329E">
        <w:rPr>
          <w:rFonts w:ascii="Tahoma" w:hAnsi="Tahoma" w:cs="Tahoma"/>
          <w:color w:val="000000" w:themeColor="text1"/>
        </w:rPr>
        <w:t xml:space="preserve">By exploring the different correlation characteristics of the infrastructure stocks that form part of this overlap with those that don’t, it has been found that infrastructure stocks in the MSCI word have significantly higher correlation than infrastructure stocks that aren’t.  The </w:t>
      </w:r>
      <w:r w:rsidR="00E57112" w:rsidRPr="00B3329E">
        <w:rPr>
          <w:rFonts w:ascii="Tahoma" w:hAnsi="Tahoma" w:cs="Tahoma"/>
          <w:color w:val="000000" w:themeColor="text1"/>
        </w:rPr>
        <w:t xml:space="preserve">implication of this </w:t>
      </w:r>
      <w:r w:rsidR="00FA70F2" w:rsidRPr="00B3329E">
        <w:rPr>
          <w:rFonts w:ascii="Tahoma" w:hAnsi="Tahoma" w:cs="Tahoma"/>
          <w:color w:val="000000" w:themeColor="text1"/>
        </w:rPr>
        <w:t>intui</w:t>
      </w:r>
      <w:r w:rsidR="00A11447" w:rsidRPr="00B3329E">
        <w:rPr>
          <w:rFonts w:ascii="Tahoma" w:hAnsi="Tahoma" w:cs="Tahoma"/>
          <w:color w:val="000000" w:themeColor="text1"/>
        </w:rPr>
        <w:t>ti</w:t>
      </w:r>
      <w:r w:rsidR="00FA70F2" w:rsidRPr="00B3329E">
        <w:rPr>
          <w:rFonts w:ascii="Tahoma" w:hAnsi="Tahoma" w:cs="Tahoma"/>
          <w:color w:val="000000" w:themeColor="text1"/>
        </w:rPr>
        <w:t xml:space="preserve">ve result </w:t>
      </w:r>
      <w:r w:rsidR="00E57112" w:rsidRPr="00B3329E">
        <w:rPr>
          <w:rFonts w:ascii="Tahoma" w:hAnsi="Tahoma" w:cs="Tahoma"/>
          <w:color w:val="000000" w:themeColor="text1"/>
        </w:rPr>
        <w:t>is that active</w:t>
      </w:r>
      <w:r w:rsidRPr="00B3329E">
        <w:rPr>
          <w:rFonts w:ascii="Tahoma" w:hAnsi="Tahoma" w:cs="Tahoma"/>
          <w:color w:val="000000" w:themeColor="text1"/>
        </w:rPr>
        <w:t xml:space="preserve"> funds </w:t>
      </w:r>
      <w:r w:rsidR="00E57112" w:rsidRPr="00B3329E">
        <w:rPr>
          <w:rFonts w:ascii="Tahoma" w:hAnsi="Tahoma" w:cs="Tahoma"/>
          <w:color w:val="000000" w:themeColor="text1"/>
        </w:rPr>
        <w:t>and indices may be able to lower their correlation by e</w:t>
      </w:r>
      <w:r w:rsidRPr="00B3329E">
        <w:rPr>
          <w:rFonts w:ascii="Tahoma" w:hAnsi="Tahoma" w:cs="Tahoma"/>
          <w:color w:val="000000" w:themeColor="text1"/>
        </w:rPr>
        <w:t xml:space="preserve">xcluding stocks from their investment universe that are contained within the MSCI World.  </w:t>
      </w:r>
    </w:p>
    <w:p w:rsidR="00EA6483" w:rsidRPr="00B3329E" w:rsidRDefault="00EA6483" w:rsidP="00EA6483">
      <w:pPr>
        <w:spacing w:after="0"/>
        <w:rPr>
          <w:rFonts w:ascii="Tahoma" w:hAnsi="Tahoma" w:cs="Tahoma"/>
          <w:color w:val="000000" w:themeColor="text1"/>
        </w:rPr>
      </w:pPr>
    </w:p>
    <w:p w:rsidR="00622DE7" w:rsidRPr="00B3329E" w:rsidRDefault="008D4CA6" w:rsidP="00EA6483">
      <w:pPr>
        <w:spacing w:after="0"/>
        <w:rPr>
          <w:rFonts w:ascii="Tahoma" w:hAnsi="Tahoma" w:cs="Tahoma"/>
          <w:color w:val="000000" w:themeColor="text1"/>
        </w:rPr>
      </w:pPr>
      <w:r w:rsidRPr="00B3329E">
        <w:rPr>
          <w:rFonts w:ascii="Tahoma" w:hAnsi="Tahoma" w:cs="Tahoma"/>
          <w:color w:val="000000" w:themeColor="text1"/>
        </w:rPr>
        <w:t>The changes in correlation during different time periods may explain why some studies have found lower diversification benefits and therefore reached contrasting conclusions</w:t>
      </w:r>
      <w:r w:rsidR="001D1495">
        <w:rPr>
          <w:rFonts w:ascii="Tahoma" w:hAnsi="Tahoma" w:cs="Tahoma"/>
          <w:color w:val="000000" w:themeColor="text1"/>
        </w:rPr>
        <w:t>, particularly if the study included the GFC. S</w:t>
      </w:r>
      <w:r w:rsidR="001D1495" w:rsidRPr="00B3329E">
        <w:rPr>
          <w:rFonts w:ascii="Tahoma" w:hAnsi="Tahoma" w:cs="Tahoma"/>
          <w:color w:val="000000" w:themeColor="text1"/>
        </w:rPr>
        <w:t xml:space="preserve">tudies </w:t>
      </w:r>
      <w:r w:rsidR="00C1135B" w:rsidRPr="00B3329E">
        <w:rPr>
          <w:rFonts w:ascii="Tahoma" w:hAnsi="Tahoma" w:cs="Tahoma"/>
          <w:color w:val="000000" w:themeColor="text1"/>
        </w:rPr>
        <w:t>of listed infrastructure that include this period</w:t>
      </w:r>
      <w:r w:rsidR="001D1495">
        <w:rPr>
          <w:rFonts w:ascii="Tahoma" w:hAnsi="Tahoma" w:cs="Tahoma"/>
          <w:color w:val="000000" w:themeColor="text1"/>
        </w:rPr>
        <w:t>, the worst financial crisis in 75 years,</w:t>
      </w:r>
      <w:r w:rsidR="00C1135B" w:rsidRPr="00B3329E">
        <w:rPr>
          <w:rFonts w:ascii="Tahoma" w:hAnsi="Tahoma" w:cs="Tahoma"/>
          <w:color w:val="000000" w:themeColor="text1"/>
        </w:rPr>
        <w:t xml:space="preserve"> may underestimate the diversification benefits</w:t>
      </w:r>
      <w:r w:rsidR="007408C7">
        <w:rPr>
          <w:rFonts w:ascii="Tahoma" w:hAnsi="Tahoma" w:cs="Tahoma"/>
          <w:color w:val="000000" w:themeColor="text1"/>
        </w:rPr>
        <w:t xml:space="preserve"> enjoyed</w:t>
      </w:r>
      <w:r w:rsidR="00C1135B" w:rsidRPr="00B3329E">
        <w:rPr>
          <w:rFonts w:ascii="Tahoma" w:hAnsi="Tahoma" w:cs="Tahoma"/>
          <w:color w:val="000000" w:themeColor="text1"/>
        </w:rPr>
        <w:t xml:space="preserve"> in normal, less extreme market conditions.</w:t>
      </w:r>
    </w:p>
    <w:p w:rsidR="00EA79FF" w:rsidRPr="00B3329E" w:rsidRDefault="00EA79FF" w:rsidP="00EA6483">
      <w:pPr>
        <w:spacing w:after="0"/>
        <w:rPr>
          <w:rFonts w:ascii="Tahoma" w:hAnsi="Tahoma" w:cs="Tahoma"/>
          <w:b/>
          <w:color w:val="000000" w:themeColor="text1"/>
        </w:rPr>
      </w:pPr>
    </w:p>
    <w:p w:rsidR="00EA6483" w:rsidRPr="00B3329E" w:rsidRDefault="00EA6483" w:rsidP="00EA6483">
      <w:pPr>
        <w:spacing w:after="0"/>
        <w:rPr>
          <w:rFonts w:ascii="Tahoma" w:hAnsi="Tahoma" w:cs="Tahoma"/>
          <w:b/>
          <w:color w:val="000000" w:themeColor="text1"/>
        </w:rPr>
      </w:pPr>
    </w:p>
    <w:p w:rsidR="00EA79FF" w:rsidRPr="00B3329E" w:rsidRDefault="006A3E42" w:rsidP="00A426E5">
      <w:pPr>
        <w:pStyle w:val="2"/>
        <w:rPr>
          <w:rFonts w:cs="Tahoma"/>
          <w:color w:val="000000" w:themeColor="text1"/>
        </w:rPr>
      </w:pPr>
      <w:bookmarkStart w:id="56" w:name="_Toc523311370"/>
      <w:r w:rsidRPr="00B3329E">
        <w:rPr>
          <w:rFonts w:cs="Tahoma"/>
          <w:color w:val="000000" w:themeColor="text1"/>
        </w:rPr>
        <w:t>6</w:t>
      </w:r>
      <w:r w:rsidR="003E4872" w:rsidRPr="00B3329E">
        <w:rPr>
          <w:rFonts w:cs="Tahoma"/>
          <w:color w:val="000000" w:themeColor="text1"/>
        </w:rPr>
        <w:t xml:space="preserve">.2. </w:t>
      </w:r>
      <w:r w:rsidR="004C2C63">
        <w:rPr>
          <w:rFonts w:cs="Tahoma"/>
          <w:color w:val="000000" w:themeColor="text1"/>
        </w:rPr>
        <w:t>I</w:t>
      </w:r>
      <w:r w:rsidR="00213B13" w:rsidRPr="00B3329E">
        <w:rPr>
          <w:rFonts w:cs="Tahoma"/>
          <w:color w:val="000000" w:themeColor="text1"/>
        </w:rPr>
        <w:t>ndices</w:t>
      </w:r>
      <w:bookmarkEnd w:id="56"/>
    </w:p>
    <w:p w:rsidR="00EA79FF" w:rsidRPr="00B3329E" w:rsidRDefault="00EA79FF" w:rsidP="00EA6483">
      <w:pPr>
        <w:spacing w:after="0"/>
        <w:rPr>
          <w:rFonts w:ascii="Tahoma" w:hAnsi="Tahoma" w:cs="Tahoma"/>
          <w:b/>
          <w:color w:val="000000" w:themeColor="text1"/>
        </w:rPr>
      </w:pPr>
    </w:p>
    <w:p w:rsidR="00173EFC" w:rsidRPr="00B3329E" w:rsidRDefault="001748CC" w:rsidP="00173EFC">
      <w:pPr>
        <w:spacing w:after="0"/>
        <w:rPr>
          <w:rFonts w:ascii="Tahoma" w:hAnsi="Tahoma" w:cs="Tahoma"/>
          <w:color w:val="000000" w:themeColor="text1"/>
        </w:rPr>
      </w:pPr>
      <w:r w:rsidRPr="00B3329E">
        <w:rPr>
          <w:rFonts w:ascii="Tahoma" w:hAnsi="Tahoma" w:cs="Tahoma"/>
          <w:color w:val="000000" w:themeColor="text1"/>
        </w:rPr>
        <w:lastRenderedPageBreak/>
        <w:t xml:space="preserve">This study finds that </w:t>
      </w:r>
      <w:r w:rsidR="00213B13" w:rsidRPr="00B3329E">
        <w:rPr>
          <w:rFonts w:ascii="Tahoma" w:hAnsi="Tahoma" w:cs="Tahoma"/>
          <w:color w:val="000000" w:themeColor="text1"/>
        </w:rPr>
        <w:t>infrastructure indices have significantly higher average equity market correlation than</w:t>
      </w:r>
      <w:r w:rsidRPr="00B3329E">
        <w:rPr>
          <w:rFonts w:ascii="Tahoma" w:hAnsi="Tahoma" w:cs="Tahoma"/>
          <w:color w:val="000000" w:themeColor="text1"/>
        </w:rPr>
        <w:t xml:space="preserve"> the sample of infrastructure</w:t>
      </w:r>
      <w:r w:rsidR="00213B13" w:rsidRPr="00B3329E">
        <w:rPr>
          <w:rFonts w:ascii="Tahoma" w:hAnsi="Tahoma" w:cs="Tahoma"/>
          <w:color w:val="000000" w:themeColor="text1"/>
        </w:rPr>
        <w:t xml:space="preserve"> stocks</w:t>
      </w:r>
      <w:r w:rsidRPr="00B3329E">
        <w:rPr>
          <w:rFonts w:ascii="Tahoma" w:hAnsi="Tahoma" w:cs="Tahoma"/>
          <w:color w:val="000000" w:themeColor="text1"/>
        </w:rPr>
        <w:t xml:space="preserve"> and active funds.  </w:t>
      </w:r>
      <w:r w:rsidR="00213B13" w:rsidRPr="00B3329E">
        <w:rPr>
          <w:rFonts w:ascii="Tahoma" w:hAnsi="Tahoma" w:cs="Tahoma"/>
          <w:color w:val="000000" w:themeColor="text1"/>
        </w:rPr>
        <w:t xml:space="preserve"> It appears that despite an opportunity set of stocks with low corr</w:t>
      </w:r>
      <w:r w:rsidRPr="00B3329E">
        <w:rPr>
          <w:rFonts w:ascii="Tahoma" w:hAnsi="Tahoma" w:cs="Tahoma"/>
          <w:color w:val="000000" w:themeColor="text1"/>
        </w:rPr>
        <w:t xml:space="preserve">elation to global equities, the </w:t>
      </w:r>
      <w:r w:rsidR="00213B13" w:rsidRPr="00B3329E">
        <w:rPr>
          <w:rFonts w:ascii="Tahoma" w:hAnsi="Tahoma" w:cs="Tahoma"/>
          <w:color w:val="000000" w:themeColor="text1"/>
        </w:rPr>
        <w:t xml:space="preserve">process of selecting </w:t>
      </w:r>
      <w:r w:rsidRPr="00B3329E">
        <w:rPr>
          <w:rFonts w:ascii="Tahoma" w:hAnsi="Tahoma" w:cs="Tahoma"/>
          <w:color w:val="000000" w:themeColor="text1"/>
        </w:rPr>
        <w:t>stocks for constituents</w:t>
      </w:r>
      <w:r w:rsidR="00213B13" w:rsidRPr="00B3329E">
        <w:rPr>
          <w:rFonts w:ascii="Tahoma" w:hAnsi="Tahoma" w:cs="Tahoma"/>
          <w:color w:val="000000" w:themeColor="text1"/>
        </w:rPr>
        <w:t xml:space="preserve"> and </w:t>
      </w:r>
      <w:r w:rsidRPr="00B3329E">
        <w:rPr>
          <w:rFonts w:ascii="Tahoma" w:hAnsi="Tahoma" w:cs="Tahoma"/>
          <w:color w:val="000000" w:themeColor="text1"/>
        </w:rPr>
        <w:t xml:space="preserve">their </w:t>
      </w:r>
      <w:r w:rsidR="00213B13" w:rsidRPr="00B3329E">
        <w:rPr>
          <w:rFonts w:ascii="Tahoma" w:hAnsi="Tahoma" w:cs="Tahoma"/>
          <w:color w:val="000000" w:themeColor="text1"/>
        </w:rPr>
        <w:t xml:space="preserve">corresponding weights </w:t>
      </w:r>
      <w:r w:rsidR="001D1495">
        <w:rPr>
          <w:rFonts w:ascii="Tahoma" w:hAnsi="Tahoma" w:cs="Tahoma"/>
          <w:color w:val="000000" w:themeColor="text1"/>
        </w:rPr>
        <w:t xml:space="preserve">undermines </w:t>
      </w:r>
      <w:r w:rsidR="00213B13" w:rsidRPr="00B3329E">
        <w:rPr>
          <w:rFonts w:ascii="Tahoma" w:hAnsi="Tahoma" w:cs="Tahoma"/>
          <w:color w:val="000000" w:themeColor="text1"/>
        </w:rPr>
        <w:t>diversification</w:t>
      </w:r>
      <w:r w:rsidR="001D1495">
        <w:rPr>
          <w:rFonts w:ascii="Tahoma" w:hAnsi="Tahoma" w:cs="Tahoma"/>
          <w:color w:val="000000" w:themeColor="text1"/>
        </w:rPr>
        <w:t xml:space="preserve"> potential</w:t>
      </w:r>
      <w:r w:rsidR="00213B13" w:rsidRPr="00B3329E">
        <w:rPr>
          <w:rFonts w:ascii="Tahoma" w:hAnsi="Tahoma" w:cs="Tahoma"/>
          <w:color w:val="000000" w:themeColor="text1"/>
        </w:rPr>
        <w:t xml:space="preserve">. </w:t>
      </w:r>
      <w:r w:rsidRPr="00B3329E">
        <w:rPr>
          <w:rFonts w:ascii="Tahoma" w:hAnsi="Tahoma" w:cs="Tahoma"/>
          <w:color w:val="000000" w:themeColor="text1"/>
        </w:rPr>
        <w:t>This outcome is surprising given investor</w:t>
      </w:r>
      <w:r w:rsidR="00213B13" w:rsidRPr="00B3329E">
        <w:rPr>
          <w:rFonts w:ascii="Tahoma" w:hAnsi="Tahoma" w:cs="Tahoma"/>
          <w:color w:val="000000" w:themeColor="text1"/>
        </w:rPr>
        <w:t>s</w:t>
      </w:r>
      <w:r w:rsidRPr="00B3329E">
        <w:rPr>
          <w:rFonts w:ascii="Tahoma" w:hAnsi="Tahoma" w:cs="Tahoma"/>
          <w:color w:val="000000" w:themeColor="text1"/>
        </w:rPr>
        <w:t>’</w:t>
      </w:r>
      <w:r w:rsidR="00213B13" w:rsidRPr="00B3329E">
        <w:rPr>
          <w:rFonts w:ascii="Tahoma" w:hAnsi="Tahoma" w:cs="Tahoma"/>
          <w:color w:val="000000" w:themeColor="text1"/>
        </w:rPr>
        <w:t xml:space="preserve"> </w:t>
      </w:r>
      <w:r w:rsidRPr="00B3329E">
        <w:rPr>
          <w:rFonts w:ascii="Tahoma" w:hAnsi="Tahoma" w:cs="Tahoma"/>
          <w:color w:val="000000" w:themeColor="text1"/>
        </w:rPr>
        <w:t xml:space="preserve">demand for infrastructure is driven by the </w:t>
      </w:r>
      <w:r w:rsidR="00213B13" w:rsidRPr="00B3329E">
        <w:rPr>
          <w:rFonts w:ascii="Tahoma" w:hAnsi="Tahoma" w:cs="Tahoma"/>
          <w:color w:val="000000" w:themeColor="text1"/>
        </w:rPr>
        <w:t>preference for diver</w:t>
      </w:r>
      <w:r w:rsidR="00106638" w:rsidRPr="00B3329E">
        <w:rPr>
          <w:rFonts w:ascii="Tahoma" w:hAnsi="Tahoma" w:cs="Tahoma"/>
          <w:color w:val="000000" w:themeColor="text1"/>
        </w:rPr>
        <w:t>sification</w:t>
      </w:r>
      <w:r w:rsidRPr="00B3329E">
        <w:rPr>
          <w:rFonts w:ascii="Tahoma" w:hAnsi="Tahoma" w:cs="Tahoma"/>
          <w:color w:val="000000" w:themeColor="text1"/>
        </w:rPr>
        <w:t xml:space="preserve">.  </w:t>
      </w:r>
      <w:r w:rsidR="00173EFC" w:rsidRPr="00B3329E">
        <w:rPr>
          <w:rFonts w:ascii="Tahoma" w:hAnsi="Tahoma" w:cs="Tahoma"/>
          <w:color w:val="000000" w:themeColor="text1"/>
        </w:rPr>
        <w:t>The difference between the globally-diversified indices and those with a sector or regional speciality suggests that the specialist indices are delivering lower correlation, which further indicates heterogeneity and differing levels of correlation are present across sub-sectors and regions.</w:t>
      </w:r>
    </w:p>
    <w:p w:rsidR="00EA79FF" w:rsidRPr="00B3329E" w:rsidRDefault="00EA79FF" w:rsidP="00EA6483">
      <w:pPr>
        <w:spacing w:after="0"/>
        <w:rPr>
          <w:rFonts w:ascii="Tahoma" w:hAnsi="Tahoma" w:cs="Tahoma"/>
          <w:color w:val="000000" w:themeColor="text1"/>
        </w:rPr>
      </w:pPr>
    </w:p>
    <w:p w:rsidR="00213B13" w:rsidRPr="00B3329E" w:rsidRDefault="001748CC" w:rsidP="00EA6483">
      <w:pPr>
        <w:spacing w:after="0"/>
        <w:rPr>
          <w:rFonts w:ascii="Tahoma" w:hAnsi="Tahoma" w:cs="Tahoma"/>
          <w:color w:val="000000" w:themeColor="text1"/>
        </w:rPr>
      </w:pPr>
      <w:r w:rsidRPr="00B3329E">
        <w:rPr>
          <w:rFonts w:ascii="Tahoma" w:hAnsi="Tahoma" w:cs="Tahoma"/>
          <w:color w:val="000000" w:themeColor="text1"/>
        </w:rPr>
        <w:t xml:space="preserve">The </w:t>
      </w:r>
      <w:r w:rsidR="00C135CC" w:rsidRPr="00B3329E">
        <w:rPr>
          <w:rFonts w:ascii="Tahoma" w:hAnsi="Tahoma" w:cs="Tahoma"/>
          <w:color w:val="000000" w:themeColor="text1"/>
        </w:rPr>
        <w:t xml:space="preserve">higher average correlation of indices compared to </w:t>
      </w:r>
      <w:r w:rsidRPr="00B3329E">
        <w:rPr>
          <w:rFonts w:ascii="Tahoma" w:hAnsi="Tahoma" w:cs="Tahoma"/>
          <w:color w:val="000000" w:themeColor="text1"/>
        </w:rPr>
        <w:t xml:space="preserve">infrastructure stocks </w:t>
      </w:r>
      <w:r w:rsidR="00213B13" w:rsidRPr="00B3329E">
        <w:rPr>
          <w:rFonts w:ascii="Tahoma" w:hAnsi="Tahoma" w:cs="Tahoma"/>
          <w:color w:val="000000" w:themeColor="text1"/>
        </w:rPr>
        <w:t>may be explained by market-cap weight</w:t>
      </w:r>
      <w:r w:rsidRPr="00B3329E">
        <w:rPr>
          <w:rFonts w:ascii="Tahoma" w:hAnsi="Tahoma" w:cs="Tahoma"/>
          <w:color w:val="000000" w:themeColor="text1"/>
        </w:rPr>
        <w:t>ed</w:t>
      </w:r>
      <w:r w:rsidR="00213B13" w:rsidRPr="00B3329E">
        <w:rPr>
          <w:rFonts w:ascii="Tahoma" w:hAnsi="Tahoma" w:cs="Tahoma"/>
          <w:color w:val="000000" w:themeColor="text1"/>
        </w:rPr>
        <w:t xml:space="preserve"> </w:t>
      </w:r>
      <w:r w:rsidRPr="00B3329E">
        <w:rPr>
          <w:rFonts w:ascii="Tahoma" w:hAnsi="Tahoma" w:cs="Tahoma"/>
          <w:color w:val="000000" w:themeColor="text1"/>
        </w:rPr>
        <w:t xml:space="preserve">approach to </w:t>
      </w:r>
      <w:r w:rsidR="00213B13" w:rsidRPr="00B3329E">
        <w:rPr>
          <w:rFonts w:ascii="Tahoma" w:hAnsi="Tahoma" w:cs="Tahoma"/>
          <w:color w:val="000000" w:themeColor="text1"/>
        </w:rPr>
        <w:t>index construction that is prevalent ac</w:t>
      </w:r>
      <w:r w:rsidR="006F1995" w:rsidRPr="00B3329E">
        <w:rPr>
          <w:rFonts w:ascii="Tahoma" w:hAnsi="Tahoma" w:cs="Tahoma"/>
          <w:color w:val="000000" w:themeColor="text1"/>
        </w:rPr>
        <w:t>r</w:t>
      </w:r>
      <w:r w:rsidR="00213B13" w:rsidRPr="00B3329E">
        <w:rPr>
          <w:rFonts w:ascii="Tahoma" w:hAnsi="Tahoma" w:cs="Tahoma"/>
          <w:color w:val="000000" w:themeColor="text1"/>
        </w:rPr>
        <w:t>oss all of the infrastructure indices</w:t>
      </w:r>
      <w:r w:rsidR="00C135CC" w:rsidRPr="00B3329E">
        <w:rPr>
          <w:rFonts w:ascii="Tahoma" w:hAnsi="Tahoma" w:cs="Tahoma"/>
          <w:color w:val="000000" w:themeColor="text1"/>
        </w:rPr>
        <w:t xml:space="preserve">, which means </w:t>
      </w:r>
      <w:r w:rsidR="007408C7">
        <w:rPr>
          <w:rFonts w:ascii="Tahoma" w:hAnsi="Tahoma" w:cs="Tahoma"/>
          <w:color w:val="000000" w:themeColor="text1"/>
        </w:rPr>
        <w:t xml:space="preserve">it is the </w:t>
      </w:r>
      <w:r w:rsidR="00103168" w:rsidRPr="00B3329E">
        <w:rPr>
          <w:rFonts w:ascii="Tahoma" w:hAnsi="Tahoma" w:cs="Tahoma"/>
          <w:color w:val="000000" w:themeColor="text1"/>
        </w:rPr>
        <w:t>i</w:t>
      </w:r>
      <w:r w:rsidR="00213B13" w:rsidRPr="00B3329E">
        <w:rPr>
          <w:rFonts w:ascii="Tahoma" w:hAnsi="Tahoma" w:cs="Tahoma"/>
          <w:color w:val="000000" w:themeColor="text1"/>
        </w:rPr>
        <w:t>nfrastructure stocks with the largest market-cap that form the largest index constituents.</w:t>
      </w:r>
      <w:r w:rsidR="00173EFC" w:rsidRPr="00B3329E">
        <w:rPr>
          <w:rFonts w:ascii="Tahoma" w:hAnsi="Tahoma" w:cs="Tahoma"/>
          <w:color w:val="000000" w:themeColor="text1"/>
        </w:rPr>
        <w:t xml:space="preserve"> </w:t>
      </w:r>
      <w:r w:rsidR="00103168" w:rsidRPr="00B3329E">
        <w:rPr>
          <w:rFonts w:ascii="Tahoma" w:hAnsi="Tahoma" w:cs="Tahoma"/>
          <w:color w:val="000000" w:themeColor="text1"/>
        </w:rPr>
        <w:t xml:space="preserve">Larger stocks are typically constituents of many indices and widely held by </w:t>
      </w:r>
      <w:r w:rsidR="00977C3F" w:rsidRPr="00B3329E">
        <w:rPr>
          <w:rFonts w:ascii="Tahoma" w:hAnsi="Tahoma" w:cs="Tahoma"/>
          <w:color w:val="000000" w:themeColor="text1"/>
        </w:rPr>
        <w:t>ETF</w:t>
      </w:r>
      <w:r w:rsidR="00103168" w:rsidRPr="00B3329E">
        <w:rPr>
          <w:rFonts w:ascii="Tahoma" w:hAnsi="Tahoma" w:cs="Tahoma"/>
          <w:color w:val="000000" w:themeColor="text1"/>
        </w:rPr>
        <w:t xml:space="preserve"> investors.  Da and Shive’s (201</w:t>
      </w:r>
      <w:r w:rsidR="00E61CB1" w:rsidRPr="00B3329E">
        <w:rPr>
          <w:rFonts w:ascii="Tahoma" w:hAnsi="Tahoma" w:cs="Tahoma"/>
          <w:color w:val="000000" w:themeColor="text1"/>
        </w:rPr>
        <w:t>8</w:t>
      </w:r>
      <w:r w:rsidR="00103168" w:rsidRPr="00B3329E">
        <w:rPr>
          <w:rFonts w:ascii="Tahoma" w:hAnsi="Tahoma" w:cs="Tahoma"/>
          <w:color w:val="000000" w:themeColor="text1"/>
        </w:rPr>
        <w:t xml:space="preserve">) study of ETFs found that stocks that are </w:t>
      </w:r>
      <w:r w:rsidR="00890358" w:rsidRPr="00B3329E">
        <w:rPr>
          <w:rFonts w:ascii="Tahoma" w:hAnsi="Tahoma" w:cs="Tahoma"/>
          <w:color w:val="000000" w:themeColor="text1"/>
        </w:rPr>
        <w:t>constituents</w:t>
      </w:r>
      <w:r w:rsidR="00103168" w:rsidRPr="00B3329E">
        <w:rPr>
          <w:rFonts w:ascii="Tahoma" w:hAnsi="Tahoma" w:cs="Tahoma"/>
          <w:color w:val="000000" w:themeColor="text1"/>
        </w:rPr>
        <w:t xml:space="preserve"> across many ETFS have higher </w:t>
      </w:r>
      <w:r w:rsidR="00890358" w:rsidRPr="00B3329E">
        <w:rPr>
          <w:rFonts w:ascii="Tahoma" w:hAnsi="Tahoma" w:cs="Tahoma"/>
          <w:color w:val="000000" w:themeColor="text1"/>
        </w:rPr>
        <w:t xml:space="preserve">equity market </w:t>
      </w:r>
      <w:r w:rsidR="00103168" w:rsidRPr="00B3329E">
        <w:rPr>
          <w:rFonts w:ascii="Tahoma" w:hAnsi="Tahoma" w:cs="Tahoma"/>
          <w:color w:val="000000" w:themeColor="text1"/>
        </w:rPr>
        <w:t>correlation</w:t>
      </w:r>
      <w:r w:rsidR="00890358" w:rsidRPr="00B3329E">
        <w:rPr>
          <w:rFonts w:ascii="Tahoma" w:hAnsi="Tahoma" w:cs="Tahoma"/>
          <w:color w:val="000000" w:themeColor="text1"/>
        </w:rPr>
        <w:t>.  Whilst correlation has declined since the GFC, the growth of ETF investing</w:t>
      </w:r>
      <w:r w:rsidR="00106638" w:rsidRPr="00B3329E">
        <w:rPr>
          <w:rFonts w:ascii="Tahoma" w:hAnsi="Tahoma" w:cs="Tahoma"/>
          <w:color w:val="000000" w:themeColor="text1"/>
        </w:rPr>
        <w:t xml:space="preserve"> in recent years</w:t>
      </w:r>
      <w:r w:rsidR="00890358" w:rsidRPr="00B3329E">
        <w:rPr>
          <w:rFonts w:ascii="Tahoma" w:hAnsi="Tahoma" w:cs="Tahoma"/>
          <w:color w:val="000000" w:themeColor="text1"/>
        </w:rPr>
        <w:t xml:space="preserve"> may mean an increasing number of generalist investors own infrastructure stocks so the relatively </w:t>
      </w:r>
      <w:r w:rsidR="00106638" w:rsidRPr="00B3329E">
        <w:rPr>
          <w:rFonts w:ascii="Tahoma" w:hAnsi="Tahoma" w:cs="Tahoma"/>
          <w:color w:val="000000" w:themeColor="text1"/>
        </w:rPr>
        <w:t>higher correlation</w:t>
      </w:r>
      <w:r w:rsidR="00890358" w:rsidRPr="00B3329E">
        <w:rPr>
          <w:rFonts w:ascii="Tahoma" w:hAnsi="Tahoma" w:cs="Tahoma"/>
          <w:color w:val="000000" w:themeColor="text1"/>
        </w:rPr>
        <w:t xml:space="preserve"> is likely to persist and could become even more extreme in the next financial crisis.</w:t>
      </w:r>
    </w:p>
    <w:p w:rsidR="00EA6483" w:rsidRPr="00B3329E" w:rsidRDefault="00EA6483" w:rsidP="00EA6483">
      <w:pPr>
        <w:spacing w:after="0"/>
        <w:rPr>
          <w:rFonts w:ascii="Tahoma" w:hAnsi="Tahoma" w:cs="Tahoma"/>
          <w:color w:val="000000" w:themeColor="text1"/>
        </w:rPr>
      </w:pPr>
    </w:p>
    <w:p w:rsidR="0096697F" w:rsidRPr="00B3329E" w:rsidRDefault="0096697F" w:rsidP="00EA6483">
      <w:pPr>
        <w:spacing w:after="0"/>
        <w:rPr>
          <w:rFonts w:ascii="Tahoma" w:hAnsi="Tahoma" w:cs="Tahoma"/>
          <w:color w:val="000000" w:themeColor="text1"/>
        </w:rPr>
      </w:pPr>
      <w:r w:rsidRPr="00B3329E">
        <w:rPr>
          <w:rFonts w:ascii="Tahoma" w:hAnsi="Tahoma" w:cs="Tahoma"/>
          <w:color w:val="000000" w:themeColor="text1"/>
        </w:rPr>
        <w:t>Amenc et al</w:t>
      </w:r>
      <w:r w:rsidR="00890358" w:rsidRPr="00B3329E">
        <w:rPr>
          <w:rFonts w:ascii="Tahoma" w:hAnsi="Tahoma" w:cs="Tahoma"/>
          <w:color w:val="000000" w:themeColor="text1"/>
        </w:rPr>
        <w:t>’s</w:t>
      </w:r>
      <w:r w:rsidRPr="00B3329E">
        <w:rPr>
          <w:rFonts w:ascii="Tahoma" w:hAnsi="Tahoma" w:cs="Tahoma"/>
          <w:color w:val="000000" w:themeColor="text1"/>
        </w:rPr>
        <w:t xml:space="preserve"> (2</w:t>
      </w:r>
      <w:r w:rsidR="00D10088" w:rsidRPr="00B3329E">
        <w:rPr>
          <w:rFonts w:ascii="Tahoma" w:hAnsi="Tahoma" w:cs="Tahoma"/>
          <w:color w:val="000000" w:themeColor="text1"/>
        </w:rPr>
        <w:t>012</w:t>
      </w:r>
      <w:r w:rsidRPr="00B3329E">
        <w:rPr>
          <w:rFonts w:ascii="Tahoma" w:hAnsi="Tahoma" w:cs="Tahoma"/>
          <w:color w:val="000000" w:themeColor="text1"/>
        </w:rPr>
        <w:t xml:space="preserve">) </w:t>
      </w:r>
      <w:r w:rsidR="00CC646B" w:rsidRPr="00B3329E">
        <w:rPr>
          <w:rFonts w:ascii="Tahoma" w:hAnsi="Tahoma" w:cs="Tahoma"/>
          <w:color w:val="000000" w:themeColor="text1"/>
        </w:rPr>
        <w:t>stud</w:t>
      </w:r>
      <w:r w:rsidR="005140F9">
        <w:rPr>
          <w:rFonts w:ascii="Tahoma" w:hAnsi="Tahoma" w:cs="Tahoma"/>
          <w:color w:val="000000" w:themeColor="text1"/>
        </w:rPr>
        <w:t>y</w:t>
      </w:r>
      <w:r w:rsidRPr="00B3329E">
        <w:rPr>
          <w:rFonts w:ascii="Tahoma" w:hAnsi="Tahoma" w:cs="Tahoma"/>
          <w:color w:val="000000" w:themeColor="text1"/>
        </w:rPr>
        <w:t xml:space="preserve"> of </w:t>
      </w:r>
      <w:r w:rsidR="00E61CB1" w:rsidRPr="00B3329E">
        <w:rPr>
          <w:rFonts w:ascii="Tahoma" w:hAnsi="Tahoma" w:cs="Tahoma"/>
          <w:color w:val="000000" w:themeColor="text1"/>
        </w:rPr>
        <w:t xml:space="preserve">equity </w:t>
      </w:r>
      <w:r w:rsidRPr="00B3329E">
        <w:rPr>
          <w:rFonts w:ascii="Tahoma" w:hAnsi="Tahoma" w:cs="Tahoma"/>
          <w:color w:val="000000" w:themeColor="text1"/>
        </w:rPr>
        <w:t xml:space="preserve">benchmarks </w:t>
      </w:r>
      <w:r w:rsidR="00890358" w:rsidRPr="00B3329E">
        <w:rPr>
          <w:rFonts w:ascii="Tahoma" w:hAnsi="Tahoma" w:cs="Tahoma"/>
          <w:color w:val="000000" w:themeColor="text1"/>
        </w:rPr>
        <w:t xml:space="preserve">found that the </w:t>
      </w:r>
      <w:r w:rsidR="00E61CB1" w:rsidRPr="00B3329E">
        <w:rPr>
          <w:rFonts w:ascii="Tahoma" w:hAnsi="Tahoma" w:cs="Tahoma"/>
          <w:color w:val="000000" w:themeColor="text1"/>
        </w:rPr>
        <w:t>market cap-</w:t>
      </w:r>
      <w:r w:rsidR="00890358" w:rsidRPr="00B3329E">
        <w:rPr>
          <w:rFonts w:ascii="Tahoma" w:hAnsi="Tahoma" w:cs="Tahoma"/>
          <w:color w:val="000000" w:themeColor="text1"/>
        </w:rPr>
        <w:t xml:space="preserve">weighted approach </w:t>
      </w:r>
      <w:r w:rsidR="00CC646B" w:rsidRPr="00B3329E">
        <w:rPr>
          <w:rFonts w:ascii="Tahoma" w:hAnsi="Tahoma" w:cs="Tahoma"/>
          <w:color w:val="000000" w:themeColor="text1"/>
        </w:rPr>
        <w:t>creates</w:t>
      </w:r>
      <w:r w:rsidR="00E61CB1" w:rsidRPr="00B3329E">
        <w:rPr>
          <w:rFonts w:ascii="Tahoma" w:hAnsi="Tahoma" w:cs="Tahoma"/>
          <w:color w:val="000000" w:themeColor="text1"/>
        </w:rPr>
        <w:t xml:space="preserve"> indices that </w:t>
      </w:r>
      <w:r w:rsidR="00890358" w:rsidRPr="00B3329E">
        <w:rPr>
          <w:rFonts w:ascii="Tahoma" w:hAnsi="Tahoma" w:cs="Tahoma"/>
          <w:color w:val="000000" w:themeColor="text1"/>
        </w:rPr>
        <w:t>l</w:t>
      </w:r>
      <w:r w:rsidRPr="00B3329E">
        <w:rPr>
          <w:rFonts w:ascii="Tahoma" w:hAnsi="Tahoma" w:cs="Tahoma"/>
          <w:color w:val="000000" w:themeColor="text1"/>
        </w:rPr>
        <w:t xml:space="preserve">ack diversification and </w:t>
      </w:r>
      <w:r w:rsidR="00E61CB1" w:rsidRPr="00B3329E">
        <w:rPr>
          <w:rFonts w:ascii="Tahoma" w:hAnsi="Tahoma" w:cs="Tahoma"/>
          <w:color w:val="000000" w:themeColor="text1"/>
        </w:rPr>
        <w:t>are</w:t>
      </w:r>
      <w:r w:rsidR="00890358" w:rsidRPr="00B3329E">
        <w:rPr>
          <w:rFonts w:ascii="Tahoma" w:hAnsi="Tahoma" w:cs="Tahoma"/>
          <w:color w:val="000000" w:themeColor="text1"/>
        </w:rPr>
        <w:t xml:space="preserve"> </w:t>
      </w:r>
      <w:r w:rsidRPr="00B3329E">
        <w:rPr>
          <w:rFonts w:ascii="Tahoma" w:hAnsi="Tahoma" w:cs="Tahoma"/>
          <w:color w:val="000000" w:themeColor="text1"/>
        </w:rPr>
        <w:t xml:space="preserve">sub-optimal from a risk-return perspective.  .  </w:t>
      </w:r>
      <w:r w:rsidR="005140F9">
        <w:rPr>
          <w:rFonts w:ascii="Tahoma" w:hAnsi="Tahoma" w:cs="Tahoma"/>
          <w:color w:val="000000" w:themeColor="text1"/>
        </w:rPr>
        <w:t xml:space="preserve">They </w:t>
      </w:r>
      <w:r w:rsidR="00E234D2" w:rsidRPr="00B3329E">
        <w:rPr>
          <w:rFonts w:ascii="Tahoma" w:hAnsi="Tahoma" w:cs="Tahoma"/>
          <w:color w:val="000000" w:themeColor="text1"/>
        </w:rPr>
        <w:t xml:space="preserve">recommend </w:t>
      </w:r>
      <w:r w:rsidR="005140F9">
        <w:rPr>
          <w:rFonts w:ascii="Tahoma" w:hAnsi="Tahoma" w:cs="Tahoma"/>
          <w:color w:val="000000" w:themeColor="text1"/>
        </w:rPr>
        <w:t xml:space="preserve">a </w:t>
      </w:r>
      <w:r w:rsidRPr="00B3329E">
        <w:rPr>
          <w:rFonts w:ascii="Tahoma" w:hAnsi="Tahoma" w:cs="Tahoma"/>
          <w:color w:val="000000" w:themeColor="text1"/>
        </w:rPr>
        <w:t xml:space="preserve">weighting scheme </w:t>
      </w:r>
      <w:r w:rsidR="00CC646B" w:rsidRPr="00B3329E">
        <w:rPr>
          <w:rFonts w:ascii="Tahoma" w:hAnsi="Tahoma" w:cs="Tahoma"/>
          <w:color w:val="000000" w:themeColor="text1"/>
        </w:rPr>
        <w:t xml:space="preserve"> designed to deliver </w:t>
      </w:r>
      <w:r w:rsidR="005140F9" w:rsidRPr="00B3329E">
        <w:rPr>
          <w:rFonts w:ascii="Tahoma" w:hAnsi="Tahoma" w:cs="Tahoma"/>
          <w:color w:val="000000" w:themeColor="text1"/>
        </w:rPr>
        <w:t>th</w:t>
      </w:r>
      <w:r w:rsidR="005140F9">
        <w:rPr>
          <w:rFonts w:ascii="Tahoma" w:hAnsi="Tahoma" w:cs="Tahoma"/>
          <w:color w:val="000000" w:themeColor="text1"/>
        </w:rPr>
        <w:t>e desired</w:t>
      </w:r>
      <w:r w:rsidR="005140F9" w:rsidRPr="00B3329E">
        <w:rPr>
          <w:rFonts w:ascii="Tahoma" w:hAnsi="Tahoma" w:cs="Tahoma"/>
          <w:color w:val="000000" w:themeColor="text1"/>
        </w:rPr>
        <w:t xml:space="preserve"> </w:t>
      </w:r>
      <w:r w:rsidR="00CC646B" w:rsidRPr="00B3329E">
        <w:rPr>
          <w:rFonts w:ascii="Tahoma" w:hAnsi="Tahoma" w:cs="Tahoma"/>
          <w:color w:val="000000" w:themeColor="text1"/>
        </w:rPr>
        <w:t>outcome</w:t>
      </w:r>
      <w:r w:rsidR="005140F9">
        <w:rPr>
          <w:rFonts w:ascii="Tahoma" w:hAnsi="Tahoma" w:cs="Tahoma"/>
          <w:color w:val="000000" w:themeColor="text1"/>
        </w:rPr>
        <w:t xml:space="preserve">, which in the case of </w:t>
      </w:r>
      <w:r w:rsidRPr="00B3329E">
        <w:rPr>
          <w:rFonts w:ascii="Tahoma" w:hAnsi="Tahoma" w:cs="Tahoma"/>
          <w:color w:val="000000" w:themeColor="text1"/>
        </w:rPr>
        <w:t>infrastructure ind</w:t>
      </w:r>
      <w:r w:rsidR="00CC646B" w:rsidRPr="00B3329E">
        <w:rPr>
          <w:rFonts w:ascii="Tahoma" w:hAnsi="Tahoma" w:cs="Tahoma"/>
          <w:color w:val="000000" w:themeColor="text1"/>
        </w:rPr>
        <w:t xml:space="preserve">ices </w:t>
      </w:r>
      <w:r w:rsidR="005140F9">
        <w:rPr>
          <w:rFonts w:ascii="Tahoma" w:hAnsi="Tahoma" w:cs="Tahoma"/>
          <w:color w:val="000000" w:themeColor="text1"/>
        </w:rPr>
        <w:t>may be to</w:t>
      </w:r>
      <w:r w:rsidR="00CC646B" w:rsidRPr="00B3329E">
        <w:rPr>
          <w:rFonts w:ascii="Tahoma" w:hAnsi="Tahoma" w:cs="Tahoma"/>
          <w:color w:val="000000" w:themeColor="text1"/>
        </w:rPr>
        <w:t xml:space="preserve"> maximise diversification</w:t>
      </w:r>
      <w:r w:rsidR="00077CC9" w:rsidRPr="00B3329E">
        <w:rPr>
          <w:rFonts w:ascii="Tahoma" w:hAnsi="Tahoma" w:cs="Tahoma"/>
          <w:color w:val="000000" w:themeColor="text1"/>
        </w:rPr>
        <w:t xml:space="preserve">.  </w:t>
      </w:r>
    </w:p>
    <w:p w:rsidR="00E234D2" w:rsidRPr="00B3329E" w:rsidRDefault="00E234D2" w:rsidP="00EA6483">
      <w:pPr>
        <w:spacing w:after="0"/>
        <w:rPr>
          <w:rFonts w:ascii="Tahoma" w:hAnsi="Tahoma" w:cs="Tahoma"/>
          <w:color w:val="000000" w:themeColor="text1"/>
        </w:rPr>
      </w:pPr>
    </w:p>
    <w:p w:rsidR="00EA6483" w:rsidRPr="00B3329E" w:rsidRDefault="00EA6483" w:rsidP="00EA6483">
      <w:pPr>
        <w:spacing w:after="0"/>
        <w:rPr>
          <w:rFonts w:ascii="Tahoma" w:hAnsi="Tahoma" w:cs="Tahoma"/>
          <w:color w:val="000000" w:themeColor="text1"/>
        </w:rPr>
      </w:pPr>
    </w:p>
    <w:p w:rsidR="002E4299" w:rsidRPr="00B3329E" w:rsidRDefault="006A3E42" w:rsidP="00A426E5">
      <w:pPr>
        <w:pStyle w:val="2"/>
        <w:rPr>
          <w:rFonts w:cs="Tahoma"/>
          <w:color w:val="000000" w:themeColor="text1"/>
        </w:rPr>
      </w:pPr>
      <w:bookmarkStart w:id="57" w:name="_Toc523311371"/>
      <w:r w:rsidRPr="00B3329E">
        <w:rPr>
          <w:rFonts w:cs="Tahoma"/>
          <w:color w:val="000000" w:themeColor="text1"/>
        </w:rPr>
        <w:t>6</w:t>
      </w:r>
      <w:r w:rsidR="003E4872" w:rsidRPr="00B3329E">
        <w:rPr>
          <w:rFonts w:cs="Tahoma"/>
          <w:color w:val="000000" w:themeColor="text1"/>
        </w:rPr>
        <w:t xml:space="preserve">.3. </w:t>
      </w:r>
      <w:r w:rsidR="004C2C63">
        <w:rPr>
          <w:rFonts w:cs="Tahoma"/>
          <w:color w:val="000000" w:themeColor="text1"/>
        </w:rPr>
        <w:t>A</w:t>
      </w:r>
      <w:r w:rsidR="00623807" w:rsidRPr="00B3329E">
        <w:rPr>
          <w:rFonts w:cs="Tahoma"/>
          <w:color w:val="000000" w:themeColor="text1"/>
        </w:rPr>
        <w:t xml:space="preserve">ctive </w:t>
      </w:r>
      <w:r w:rsidR="004C2C63">
        <w:rPr>
          <w:rFonts w:cs="Tahoma"/>
          <w:color w:val="000000" w:themeColor="text1"/>
        </w:rPr>
        <w:t>f</w:t>
      </w:r>
      <w:r w:rsidR="00623807" w:rsidRPr="00B3329E">
        <w:rPr>
          <w:rFonts w:cs="Tahoma"/>
          <w:color w:val="000000" w:themeColor="text1"/>
        </w:rPr>
        <w:t>unds</w:t>
      </w:r>
      <w:bookmarkEnd w:id="57"/>
    </w:p>
    <w:p w:rsidR="00EA6483" w:rsidRPr="00B3329E" w:rsidRDefault="00EA6483" w:rsidP="00EA6483">
      <w:pPr>
        <w:spacing w:after="0"/>
        <w:rPr>
          <w:rFonts w:ascii="Tahoma" w:hAnsi="Tahoma" w:cs="Tahoma"/>
          <w:b/>
          <w:color w:val="000000" w:themeColor="text1"/>
        </w:rPr>
      </w:pPr>
    </w:p>
    <w:p w:rsidR="00E05AD0" w:rsidRPr="00B3329E" w:rsidRDefault="00D25FB4" w:rsidP="00E05AD0">
      <w:pPr>
        <w:spacing w:after="0"/>
        <w:rPr>
          <w:rFonts w:ascii="Tahoma" w:hAnsi="Tahoma" w:cs="Tahoma"/>
          <w:color w:val="000000" w:themeColor="text1"/>
        </w:rPr>
      </w:pPr>
      <w:r w:rsidRPr="00B3329E">
        <w:rPr>
          <w:rFonts w:ascii="Tahoma" w:hAnsi="Tahoma" w:cs="Tahoma"/>
          <w:color w:val="000000" w:themeColor="text1"/>
        </w:rPr>
        <w:t>Over the 10 year time period, a</w:t>
      </w:r>
      <w:r w:rsidR="0021565A" w:rsidRPr="00B3329E">
        <w:rPr>
          <w:rFonts w:ascii="Tahoma" w:hAnsi="Tahoma" w:cs="Tahoma"/>
          <w:color w:val="000000" w:themeColor="text1"/>
        </w:rPr>
        <w:t>ctive funds are found to have moderate</w:t>
      </w:r>
      <w:r w:rsidR="005305B5" w:rsidRPr="00B3329E">
        <w:rPr>
          <w:rFonts w:ascii="Tahoma" w:hAnsi="Tahoma" w:cs="Tahoma"/>
          <w:color w:val="000000" w:themeColor="text1"/>
        </w:rPr>
        <w:t xml:space="preserve"> </w:t>
      </w:r>
      <w:r w:rsidRPr="00B3329E">
        <w:rPr>
          <w:rFonts w:ascii="Tahoma" w:hAnsi="Tahoma" w:cs="Tahoma"/>
          <w:color w:val="000000" w:themeColor="text1"/>
        </w:rPr>
        <w:t>correlation to global equities (</w:t>
      </w:r>
      <w:r w:rsidR="002F0DF6" w:rsidRPr="00B3329E">
        <w:rPr>
          <w:rFonts w:ascii="Tahoma" w:hAnsi="Tahoma" w:cs="Tahoma"/>
          <w:color w:val="000000" w:themeColor="text1"/>
        </w:rPr>
        <w:t>0.65)</w:t>
      </w:r>
      <w:r w:rsidRPr="00B3329E">
        <w:rPr>
          <w:rFonts w:ascii="Tahoma" w:hAnsi="Tahoma" w:cs="Tahoma"/>
          <w:color w:val="000000" w:themeColor="text1"/>
        </w:rPr>
        <w:t>, which</w:t>
      </w:r>
      <w:r w:rsidR="00EC1D6F" w:rsidRPr="00B3329E">
        <w:rPr>
          <w:rFonts w:ascii="Tahoma" w:hAnsi="Tahoma" w:cs="Tahoma"/>
          <w:color w:val="000000" w:themeColor="text1"/>
        </w:rPr>
        <w:t xml:space="preserve"> whilst lower than indices,</w:t>
      </w:r>
      <w:r w:rsidRPr="00B3329E">
        <w:rPr>
          <w:rFonts w:ascii="Tahoma" w:hAnsi="Tahoma" w:cs="Tahoma"/>
          <w:color w:val="000000" w:themeColor="text1"/>
        </w:rPr>
        <w:t xml:space="preserve"> is</w:t>
      </w:r>
      <w:r w:rsidR="002F0DF6" w:rsidRPr="00B3329E">
        <w:rPr>
          <w:rFonts w:ascii="Tahoma" w:hAnsi="Tahoma" w:cs="Tahoma"/>
          <w:color w:val="000000" w:themeColor="text1"/>
        </w:rPr>
        <w:t xml:space="preserve"> significantly</w:t>
      </w:r>
      <w:r w:rsidRPr="00B3329E">
        <w:rPr>
          <w:rFonts w:ascii="Tahoma" w:hAnsi="Tahoma" w:cs="Tahoma"/>
          <w:color w:val="000000" w:themeColor="text1"/>
        </w:rPr>
        <w:t xml:space="preserve"> higher than the average correlation of the </w:t>
      </w:r>
      <w:r w:rsidR="002F0DF6" w:rsidRPr="00B3329E">
        <w:rPr>
          <w:rFonts w:ascii="Tahoma" w:hAnsi="Tahoma" w:cs="Tahoma"/>
          <w:color w:val="000000" w:themeColor="text1"/>
        </w:rPr>
        <w:t xml:space="preserve">infrastructure stocks. This </w:t>
      </w:r>
      <w:r w:rsidR="005305B5" w:rsidRPr="00B3329E">
        <w:rPr>
          <w:rFonts w:ascii="Tahoma" w:hAnsi="Tahoma" w:cs="Tahoma"/>
          <w:color w:val="000000" w:themeColor="text1"/>
        </w:rPr>
        <w:t xml:space="preserve">confirms the earlier finding by Blanc-Brude et al (2016) that active funds do not deliver meaningful diversification, </w:t>
      </w:r>
      <w:r w:rsidR="007F1EC8" w:rsidRPr="00B3329E">
        <w:rPr>
          <w:rFonts w:ascii="Tahoma" w:hAnsi="Tahoma" w:cs="Tahoma"/>
          <w:color w:val="000000" w:themeColor="text1"/>
        </w:rPr>
        <w:t>and improves its validity by analysing the</w:t>
      </w:r>
      <w:r w:rsidR="005305B5" w:rsidRPr="00B3329E">
        <w:rPr>
          <w:rFonts w:ascii="Tahoma" w:hAnsi="Tahoma" w:cs="Tahoma"/>
          <w:color w:val="000000" w:themeColor="text1"/>
        </w:rPr>
        <w:t xml:space="preserve"> sample</w:t>
      </w:r>
      <w:r w:rsidR="009D534E" w:rsidRPr="00B3329E">
        <w:rPr>
          <w:rFonts w:ascii="Tahoma" w:hAnsi="Tahoma" w:cs="Tahoma"/>
          <w:color w:val="000000" w:themeColor="text1"/>
        </w:rPr>
        <w:t>s</w:t>
      </w:r>
      <w:r w:rsidR="005305B5" w:rsidRPr="00B3329E">
        <w:rPr>
          <w:rFonts w:ascii="Tahoma" w:hAnsi="Tahoma" w:cs="Tahoma"/>
          <w:color w:val="000000" w:themeColor="text1"/>
        </w:rPr>
        <w:t xml:space="preserve"> over many time periods.  </w:t>
      </w:r>
      <w:r w:rsidR="005140F9">
        <w:rPr>
          <w:rFonts w:ascii="Tahoma" w:hAnsi="Tahoma" w:cs="Tahoma"/>
          <w:color w:val="000000" w:themeColor="text1"/>
        </w:rPr>
        <w:t>T</w:t>
      </w:r>
      <w:r w:rsidR="00EC1D6F" w:rsidRPr="00B3329E">
        <w:rPr>
          <w:rFonts w:ascii="Tahoma" w:hAnsi="Tahoma" w:cs="Tahoma"/>
          <w:color w:val="000000" w:themeColor="text1"/>
        </w:rPr>
        <w:t>his finding</w:t>
      </w:r>
      <w:r w:rsidR="002F0DF6" w:rsidRPr="00B3329E">
        <w:rPr>
          <w:rFonts w:ascii="Tahoma" w:hAnsi="Tahoma" w:cs="Tahoma"/>
          <w:color w:val="000000" w:themeColor="text1"/>
        </w:rPr>
        <w:t xml:space="preserve"> prompts the </w:t>
      </w:r>
      <w:r w:rsidRPr="00B3329E">
        <w:rPr>
          <w:rFonts w:ascii="Tahoma" w:hAnsi="Tahoma" w:cs="Tahoma"/>
          <w:color w:val="000000" w:themeColor="text1"/>
        </w:rPr>
        <w:t xml:space="preserve">question of why active fund managers have not been able to achieve the diversification that they frequently promise despite the </w:t>
      </w:r>
      <w:r w:rsidR="002F0DF6" w:rsidRPr="00B3329E">
        <w:rPr>
          <w:rFonts w:ascii="Tahoma" w:hAnsi="Tahoma" w:cs="Tahoma"/>
          <w:color w:val="000000" w:themeColor="text1"/>
        </w:rPr>
        <w:t xml:space="preserve">performance of the </w:t>
      </w:r>
      <w:r w:rsidRPr="00B3329E">
        <w:rPr>
          <w:rFonts w:ascii="Tahoma" w:hAnsi="Tahoma" w:cs="Tahoma"/>
          <w:color w:val="000000" w:themeColor="text1"/>
        </w:rPr>
        <w:t>underlying universe of stocks supporting this outcome.</w:t>
      </w:r>
      <w:r w:rsidR="00E05AD0" w:rsidRPr="00B3329E">
        <w:rPr>
          <w:rFonts w:ascii="Tahoma" w:hAnsi="Tahoma" w:cs="Tahoma"/>
          <w:color w:val="000000" w:themeColor="text1"/>
        </w:rPr>
        <w:t xml:space="preserve"> </w:t>
      </w:r>
    </w:p>
    <w:p w:rsidR="00E05AD0" w:rsidRPr="00B3329E" w:rsidRDefault="00E05AD0" w:rsidP="00E05AD0">
      <w:pPr>
        <w:spacing w:after="0"/>
        <w:rPr>
          <w:rFonts w:ascii="Tahoma" w:hAnsi="Tahoma" w:cs="Tahoma"/>
          <w:color w:val="000000" w:themeColor="text1"/>
        </w:rPr>
      </w:pPr>
    </w:p>
    <w:p w:rsidR="00213B13" w:rsidRPr="00B3329E" w:rsidRDefault="005140F9" w:rsidP="00EA6483">
      <w:pPr>
        <w:spacing w:after="0"/>
        <w:rPr>
          <w:rFonts w:ascii="Tahoma" w:hAnsi="Tahoma" w:cs="Tahoma"/>
          <w:color w:val="000000" w:themeColor="text1"/>
        </w:rPr>
      </w:pPr>
      <w:r>
        <w:rPr>
          <w:rFonts w:ascii="Tahoma" w:hAnsi="Tahoma" w:cs="Tahoma"/>
          <w:color w:val="000000" w:themeColor="text1"/>
        </w:rPr>
        <w:t>S</w:t>
      </w:r>
      <w:r w:rsidRPr="00B3329E">
        <w:rPr>
          <w:rFonts w:ascii="Tahoma" w:hAnsi="Tahoma" w:cs="Tahoma"/>
          <w:color w:val="000000" w:themeColor="text1"/>
        </w:rPr>
        <w:t xml:space="preserve">tudies </w:t>
      </w:r>
      <w:r w:rsidR="00EC1D6F" w:rsidRPr="00B3329E">
        <w:rPr>
          <w:rFonts w:ascii="Tahoma" w:hAnsi="Tahoma" w:cs="Tahoma"/>
          <w:color w:val="000000" w:themeColor="text1"/>
        </w:rPr>
        <w:t xml:space="preserve">that have analysed </w:t>
      </w:r>
      <w:r w:rsidR="009D534E" w:rsidRPr="00B3329E">
        <w:rPr>
          <w:rFonts w:ascii="Tahoma" w:hAnsi="Tahoma" w:cs="Tahoma"/>
          <w:color w:val="000000" w:themeColor="text1"/>
        </w:rPr>
        <w:t>active funds</w:t>
      </w:r>
      <w:r w:rsidR="005305B5" w:rsidRPr="00B3329E">
        <w:rPr>
          <w:rFonts w:ascii="Tahoma" w:hAnsi="Tahoma" w:cs="Tahoma"/>
          <w:color w:val="000000" w:themeColor="text1"/>
        </w:rPr>
        <w:t xml:space="preserve"> in a broader context provide</w:t>
      </w:r>
      <w:r w:rsidR="00213B13" w:rsidRPr="00B3329E">
        <w:rPr>
          <w:rFonts w:ascii="Tahoma" w:hAnsi="Tahoma" w:cs="Tahoma"/>
          <w:color w:val="000000" w:themeColor="text1"/>
        </w:rPr>
        <w:t xml:space="preserve"> some potential explanations</w:t>
      </w:r>
      <w:r w:rsidR="00E05AD0" w:rsidRPr="00B3329E">
        <w:rPr>
          <w:rFonts w:ascii="Tahoma" w:hAnsi="Tahoma" w:cs="Tahoma"/>
          <w:color w:val="000000" w:themeColor="text1"/>
        </w:rPr>
        <w:t xml:space="preserve"> </w:t>
      </w:r>
      <w:r w:rsidR="009D534E" w:rsidRPr="00B3329E">
        <w:rPr>
          <w:rFonts w:ascii="Tahoma" w:hAnsi="Tahoma" w:cs="Tahoma"/>
          <w:color w:val="000000" w:themeColor="text1"/>
        </w:rPr>
        <w:t xml:space="preserve">that can be applied to the listed </w:t>
      </w:r>
      <w:r w:rsidR="005305B5" w:rsidRPr="00B3329E">
        <w:rPr>
          <w:rFonts w:ascii="Tahoma" w:hAnsi="Tahoma" w:cs="Tahoma"/>
          <w:color w:val="000000" w:themeColor="text1"/>
        </w:rPr>
        <w:t xml:space="preserve">infrastructure </w:t>
      </w:r>
      <w:r w:rsidR="009D534E" w:rsidRPr="00B3329E">
        <w:rPr>
          <w:rFonts w:ascii="Tahoma" w:hAnsi="Tahoma" w:cs="Tahoma"/>
          <w:color w:val="000000" w:themeColor="text1"/>
        </w:rPr>
        <w:t>context</w:t>
      </w:r>
      <w:r w:rsidR="00213B13" w:rsidRPr="00B3329E">
        <w:rPr>
          <w:rFonts w:ascii="Tahoma" w:hAnsi="Tahoma" w:cs="Tahoma"/>
          <w:color w:val="000000" w:themeColor="text1"/>
        </w:rPr>
        <w:t xml:space="preserve">.  </w:t>
      </w:r>
      <w:r w:rsidR="008B4852" w:rsidRPr="00B3329E">
        <w:rPr>
          <w:rFonts w:ascii="Tahoma" w:hAnsi="Tahoma" w:cs="Tahoma"/>
          <w:color w:val="000000" w:themeColor="text1"/>
        </w:rPr>
        <w:t>Chevalier and Ellison (1997) found that asset growth ambitions influences the behaviour of mutual fund managers and that the stated objectives are not always followed.</w:t>
      </w:r>
      <w:r w:rsidR="00A85B65" w:rsidRPr="00B3329E">
        <w:rPr>
          <w:rFonts w:ascii="Tahoma" w:hAnsi="Tahoma" w:cs="Tahoma"/>
          <w:color w:val="000000" w:themeColor="text1"/>
        </w:rPr>
        <w:t xml:space="preserve">  </w:t>
      </w:r>
      <w:r w:rsidR="005305B5" w:rsidRPr="00B3329E">
        <w:rPr>
          <w:rFonts w:ascii="Tahoma" w:hAnsi="Tahoma" w:cs="Tahoma"/>
          <w:color w:val="000000" w:themeColor="text1"/>
        </w:rPr>
        <w:t xml:space="preserve">Instead, </w:t>
      </w:r>
      <w:r w:rsidR="00A85B65" w:rsidRPr="00B3329E">
        <w:rPr>
          <w:rFonts w:ascii="Tahoma" w:hAnsi="Tahoma" w:cs="Tahoma"/>
          <w:color w:val="000000" w:themeColor="text1"/>
        </w:rPr>
        <w:t>active</w:t>
      </w:r>
      <w:r w:rsidR="005305B5" w:rsidRPr="00B3329E">
        <w:rPr>
          <w:rFonts w:ascii="Tahoma" w:hAnsi="Tahoma" w:cs="Tahoma"/>
          <w:color w:val="000000" w:themeColor="text1"/>
        </w:rPr>
        <w:t xml:space="preserve"> fund</w:t>
      </w:r>
      <w:r w:rsidR="00A85B65" w:rsidRPr="00B3329E">
        <w:rPr>
          <w:rFonts w:ascii="Tahoma" w:hAnsi="Tahoma" w:cs="Tahoma"/>
          <w:color w:val="000000" w:themeColor="text1"/>
        </w:rPr>
        <w:t xml:space="preserve"> managers</w:t>
      </w:r>
      <w:r w:rsidR="005305B5" w:rsidRPr="00B3329E">
        <w:rPr>
          <w:rFonts w:ascii="Tahoma" w:hAnsi="Tahoma" w:cs="Tahoma"/>
          <w:color w:val="000000" w:themeColor="text1"/>
        </w:rPr>
        <w:t xml:space="preserve"> typically </w:t>
      </w:r>
      <w:r w:rsidR="00A85B65" w:rsidRPr="00B3329E">
        <w:rPr>
          <w:rFonts w:ascii="Tahoma" w:hAnsi="Tahoma" w:cs="Tahoma"/>
          <w:color w:val="000000" w:themeColor="text1"/>
        </w:rPr>
        <w:t>try to maximise total returns</w:t>
      </w:r>
      <w:r w:rsidR="005305B5" w:rsidRPr="00B3329E">
        <w:rPr>
          <w:rFonts w:ascii="Tahoma" w:hAnsi="Tahoma" w:cs="Tahoma"/>
          <w:color w:val="000000" w:themeColor="text1"/>
        </w:rPr>
        <w:t xml:space="preserve"> </w:t>
      </w:r>
      <w:r w:rsidR="00FA6530" w:rsidRPr="00B3329E">
        <w:rPr>
          <w:rFonts w:ascii="Tahoma" w:hAnsi="Tahoma" w:cs="Tahoma"/>
          <w:color w:val="000000" w:themeColor="text1"/>
        </w:rPr>
        <w:t xml:space="preserve">in order </w:t>
      </w:r>
      <w:r w:rsidR="005305B5" w:rsidRPr="00B3329E">
        <w:rPr>
          <w:rFonts w:ascii="Tahoma" w:hAnsi="Tahoma" w:cs="Tahoma"/>
          <w:color w:val="000000" w:themeColor="text1"/>
        </w:rPr>
        <w:t>to attract investors</w:t>
      </w:r>
      <w:r w:rsidR="00FA6530" w:rsidRPr="00B3329E">
        <w:rPr>
          <w:rFonts w:ascii="Tahoma" w:hAnsi="Tahoma" w:cs="Tahoma"/>
          <w:color w:val="000000" w:themeColor="text1"/>
        </w:rPr>
        <w:t xml:space="preserve"> from competitors</w:t>
      </w:r>
      <w:r w:rsidR="009D534E" w:rsidRPr="00B3329E">
        <w:rPr>
          <w:rFonts w:ascii="Tahoma" w:hAnsi="Tahoma" w:cs="Tahoma"/>
          <w:color w:val="000000" w:themeColor="text1"/>
        </w:rPr>
        <w:t xml:space="preserve"> of which</w:t>
      </w:r>
      <w:r w:rsidR="00FA6530" w:rsidRPr="00B3329E">
        <w:rPr>
          <w:rFonts w:ascii="Tahoma" w:hAnsi="Tahoma" w:cs="Tahoma"/>
          <w:color w:val="000000" w:themeColor="text1"/>
        </w:rPr>
        <w:t xml:space="preserve"> </w:t>
      </w:r>
      <w:r w:rsidR="009D534E" w:rsidRPr="00B3329E">
        <w:rPr>
          <w:rFonts w:ascii="Tahoma" w:hAnsi="Tahoma" w:cs="Tahoma"/>
          <w:color w:val="000000" w:themeColor="text1"/>
        </w:rPr>
        <w:t xml:space="preserve">in the case of listed </w:t>
      </w:r>
      <w:r w:rsidR="00FA6530" w:rsidRPr="00B3329E">
        <w:rPr>
          <w:rFonts w:ascii="Tahoma" w:hAnsi="Tahoma" w:cs="Tahoma"/>
          <w:color w:val="000000" w:themeColor="text1"/>
        </w:rPr>
        <w:t xml:space="preserve">infrastructure may undermine the ability </w:t>
      </w:r>
      <w:r w:rsidR="009D534E" w:rsidRPr="00B3329E">
        <w:rPr>
          <w:rFonts w:ascii="Tahoma" w:hAnsi="Tahoma" w:cs="Tahoma"/>
          <w:color w:val="000000" w:themeColor="text1"/>
        </w:rPr>
        <w:t>satisfy</w:t>
      </w:r>
      <w:r w:rsidR="00FA6530" w:rsidRPr="00B3329E">
        <w:rPr>
          <w:rFonts w:ascii="Tahoma" w:hAnsi="Tahoma" w:cs="Tahoma"/>
          <w:color w:val="000000" w:themeColor="text1"/>
        </w:rPr>
        <w:t xml:space="preserve"> </w:t>
      </w:r>
      <w:r w:rsidR="00A85B65" w:rsidRPr="00B3329E">
        <w:rPr>
          <w:rFonts w:ascii="Tahoma" w:hAnsi="Tahoma" w:cs="Tahoma"/>
          <w:color w:val="000000" w:themeColor="text1"/>
        </w:rPr>
        <w:t xml:space="preserve">the diversification goal.Another </w:t>
      </w:r>
      <w:r w:rsidR="002A0375" w:rsidRPr="00B3329E">
        <w:rPr>
          <w:rFonts w:ascii="Tahoma" w:hAnsi="Tahoma" w:cs="Tahoma"/>
          <w:color w:val="000000" w:themeColor="text1"/>
        </w:rPr>
        <w:t xml:space="preserve">potential explanation is </w:t>
      </w:r>
      <w:r w:rsidR="00A85B65" w:rsidRPr="00B3329E">
        <w:rPr>
          <w:rFonts w:ascii="Tahoma" w:hAnsi="Tahoma" w:cs="Tahoma"/>
          <w:color w:val="000000" w:themeColor="text1"/>
        </w:rPr>
        <w:t xml:space="preserve">style-drift.  </w:t>
      </w:r>
      <w:r w:rsidR="00213B13" w:rsidRPr="00B3329E">
        <w:rPr>
          <w:rFonts w:ascii="Tahoma" w:hAnsi="Tahoma" w:cs="Tahoma"/>
          <w:color w:val="000000" w:themeColor="text1"/>
        </w:rPr>
        <w:t xml:space="preserve">Chen et al (2000) studied </w:t>
      </w:r>
      <w:r w:rsidR="002A0375" w:rsidRPr="00B3329E">
        <w:rPr>
          <w:rFonts w:ascii="Tahoma" w:hAnsi="Tahoma" w:cs="Tahoma"/>
          <w:color w:val="000000" w:themeColor="text1"/>
        </w:rPr>
        <w:t xml:space="preserve">180 </w:t>
      </w:r>
      <w:r w:rsidR="00213B13" w:rsidRPr="00B3329E">
        <w:rPr>
          <w:rFonts w:ascii="Tahoma" w:hAnsi="Tahoma" w:cs="Tahoma"/>
          <w:color w:val="000000" w:themeColor="text1"/>
        </w:rPr>
        <w:t xml:space="preserve">US </w:t>
      </w:r>
      <w:r w:rsidR="002A0375" w:rsidRPr="00B3329E">
        <w:rPr>
          <w:rFonts w:ascii="Tahoma" w:hAnsi="Tahoma" w:cs="Tahoma"/>
          <w:color w:val="000000" w:themeColor="text1"/>
        </w:rPr>
        <w:t xml:space="preserve">equity </w:t>
      </w:r>
      <w:r w:rsidR="00213B13" w:rsidRPr="00B3329E">
        <w:rPr>
          <w:rFonts w:ascii="Tahoma" w:hAnsi="Tahoma" w:cs="Tahoma"/>
          <w:color w:val="000000" w:themeColor="text1"/>
        </w:rPr>
        <w:t xml:space="preserve">active funds between 1975 and 1995 found that there was often a blend of stocks within a portfolio, </w:t>
      </w:r>
      <w:r w:rsidR="000F615F" w:rsidRPr="00B3329E">
        <w:rPr>
          <w:rFonts w:ascii="Tahoma" w:hAnsi="Tahoma" w:cs="Tahoma"/>
          <w:color w:val="000000" w:themeColor="text1"/>
        </w:rPr>
        <w:t>many</w:t>
      </w:r>
      <w:r w:rsidR="00213B13" w:rsidRPr="00B3329E">
        <w:rPr>
          <w:rFonts w:ascii="Tahoma" w:hAnsi="Tahoma" w:cs="Tahoma"/>
          <w:color w:val="000000" w:themeColor="text1"/>
        </w:rPr>
        <w:t xml:space="preserve"> of w</w:t>
      </w:r>
      <w:r w:rsidR="002A0375" w:rsidRPr="00B3329E">
        <w:rPr>
          <w:rFonts w:ascii="Tahoma" w:hAnsi="Tahoma" w:cs="Tahoma"/>
          <w:color w:val="000000" w:themeColor="text1"/>
        </w:rPr>
        <w:t>h</w:t>
      </w:r>
      <w:r w:rsidR="00213B13" w:rsidRPr="00B3329E">
        <w:rPr>
          <w:rFonts w:ascii="Tahoma" w:hAnsi="Tahoma" w:cs="Tahoma"/>
          <w:color w:val="000000" w:themeColor="text1"/>
        </w:rPr>
        <w:t xml:space="preserve">ich </w:t>
      </w:r>
      <w:r w:rsidR="000F615F" w:rsidRPr="00B3329E">
        <w:rPr>
          <w:rFonts w:ascii="Tahoma" w:hAnsi="Tahoma" w:cs="Tahoma"/>
          <w:color w:val="000000" w:themeColor="text1"/>
        </w:rPr>
        <w:t xml:space="preserve">do not </w:t>
      </w:r>
      <w:r w:rsidR="00213B13" w:rsidRPr="00B3329E">
        <w:rPr>
          <w:rFonts w:ascii="Tahoma" w:hAnsi="Tahoma" w:cs="Tahoma"/>
          <w:color w:val="000000" w:themeColor="text1"/>
        </w:rPr>
        <w:t xml:space="preserve">fit the stated investment style.  </w:t>
      </w:r>
      <w:r w:rsidR="00004907" w:rsidRPr="00B3329E">
        <w:rPr>
          <w:rFonts w:ascii="Tahoma" w:hAnsi="Tahoma" w:cs="Tahoma"/>
          <w:color w:val="000000" w:themeColor="text1"/>
        </w:rPr>
        <w:t xml:space="preserve">Infrastructure suffers from ill-defined definitions so the potential for non-infrastructure stocks to enter portfolios is quite </w:t>
      </w:r>
      <w:r w:rsidR="00004907" w:rsidRPr="00B3329E">
        <w:rPr>
          <w:rFonts w:ascii="Tahoma" w:hAnsi="Tahoma" w:cs="Tahoma"/>
          <w:color w:val="000000" w:themeColor="text1"/>
        </w:rPr>
        <w:lastRenderedPageBreak/>
        <w:t xml:space="preserve">high.  </w:t>
      </w:r>
      <w:r w:rsidR="002A0375" w:rsidRPr="00B3329E">
        <w:rPr>
          <w:rFonts w:ascii="Tahoma" w:hAnsi="Tahoma" w:cs="Tahoma"/>
          <w:color w:val="000000" w:themeColor="text1"/>
        </w:rPr>
        <w:t xml:space="preserve">If infrastructure active funds are investing part of their portfolio into non-infrastructure stocks this will lead to </w:t>
      </w:r>
      <w:r w:rsidR="000F615F" w:rsidRPr="00B3329E">
        <w:rPr>
          <w:rFonts w:ascii="Tahoma" w:hAnsi="Tahoma" w:cs="Tahoma"/>
          <w:color w:val="000000" w:themeColor="text1"/>
        </w:rPr>
        <w:t>a divergence in correlation</w:t>
      </w:r>
      <w:r w:rsidR="00D25FB4" w:rsidRPr="00B3329E">
        <w:rPr>
          <w:rFonts w:ascii="Tahoma" w:hAnsi="Tahoma" w:cs="Tahoma"/>
          <w:color w:val="000000" w:themeColor="text1"/>
        </w:rPr>
        <w:t xml:space="preserve"> profiles from infrastructure stocks.</w:t>
      </w:r>
    </w:p>
    <w:p w:rsidR="00EA6483" w:rsidRPr="00B3329E" w:rsidRDefault="00EA6483" w:rsidP="00EA6483">
      <w:pPr>
        <w:spacing w:after="0"/>
        <w:rPr>
          <w:rFonts w:ascii="Tahoma" w:hAnsi="Tahoma" w:cs="Tahoma"/>
          <w:color w:val="000000" w:themeColor="text1"/>
        </w:rPr>
      </w:pPr>
    </w:p>
    <w:p w:rsidR="002F0DF6" w:rsidRPr="00B3329E" w:rsidRDefault="002F0DF6" w:rsidP="00EA6483">
      <w:pPr>
        <w:spacing w:after="0"/>
        <w:rPr>
          <w:rFonts w:ascii="Tahoma" w:hAnsi="Tahoma" w:cs="Tahoma"/>
          <w:color w:val="000000" w:themeColor="text1"/>
        </w:rPr>
      </w:pPr>
      <w:r w:rsidRPr="00B3329E">
        <w:rPr>
          <w:rFonts w:ascii="Tahoma" w:hAnsi="Tahoma" w:cs="Tahoma"/>
          <w:color w:val="000000" w:themeColor="text1"/>
        </w:rPr>
        <w:t>Th</w:t>
      </w:r>
      <w:r w:rsidR="00E05AD0" w:rsidRPr="00B3329E">
        <w:rPr>
          <w:rFonts w:ascii="Tahoma" w:hAnsi="Tahoma" w:cs="Tahoma"/>
          <w:color w:val="000000" w:themeColor="text1"/>
        </w:rPr>
        <w:t>e rolling correlation analysis highlights</w:t>
      </w:r>
      <w:r w:rsidRPr="00B3329E">
        <w:rPr>
          <w:rFonts w:ascii="Tahoma" w:hAnsi="Tahoma" w:cs="Tahoma"/>
          <w:color w:val="000000" w:themeColor="text1"/>
        </w:rPr>
        <w:t xml:space="preserve"> the trend that since the GFC the correlation of active funds has been decreasing.  A finding that may suggest that diversification is becoming a more important feature following the lessons of the GFC but this phenomenon is also present amongst infrastructure stocks so does not necessarily reflect a conscious change in management approach.  </w:t>
      </w:r>
    </w:p>
    <w:p w:rsidR="00013EF4" w:rsidRPr="00B3329E" w:rsidRDefault="00013EF4" w:rsidP="00EA6483">
      <w:pPr>
        <w:spacing w:after="0"/>
        <w:rPr>
          <w:rFonts w:ascii="Tahoma" w:hAnsi="Tahoma" w:cs="Tahoma"/>
          <w:color w:val="000000" w:themeColor="text1"/>
        </w:rPr>
      </w:pPr>
    </w:p>
    <w:p w:rsidR="00D2006B" w:rsidRPr="00B3329E" w:rsidRDefault="00D2006B" w:rsidP="00EA6483">
      <w:pPr>
        <w:spacing w:after="0"/>
        <w:rPr>
          <w:rFonts w:ascii="Tahoma" w:hAnsi="Tahoma" w:cs="Tahoma"/>
          <w:b/>
          <w:color w:val="000000" w:themeColor="text1"/>
          <w:u w:val="single"/>
        </w:rPr>
      </w:pPr>
    </w:p>
    <w:p w:rsidR="000974F4" w:rsidRDefault="000974F4">
      <w:pPr>
        <w:rPr>
          <w:rFonts w:ascii="Tahoma" w:eastAsiaTheme="majorEastAsia" w:hAnsi="Tahoma" w:cs="Tahoma"/>
          <w:b/>
          <w:color w:val="000000" w:themeColor="text1"/>
          <w:sz w:val="28"/>
          <w:szCs w:val="36"/>
        </w:rPr>
      </w:pPr>
      <w:bookmarkStart w:id="58" w:name="_Toc523311372"/>
      <w:r>
        <w:rPr>
          <w:rFonts w:cs="Tahoma"/>
          <w:color w:val="000000" w:themeColor="text1"/>
        </w:rPr>
        <w:br w:type="page"/>
      </w:r>
    </w:p>
    <w:p w:rsidR="006A3E42" w:rsidRPr="00B3329E" w:rsidRDefault="006A3E42" w:rsidP="00A426E5">
      <w:pPr>
        <w:pStyle w:val="1"/>
        <w:rPr>
          <w:rFonts w:cs="Tahoma"/>
          <w:color w:val="000000" w:themeColor="text1"/>
        </w:rPr>
      </w:pPr>
      <w:r w:rsidRPr="00B3329E">
        <w:rPr>
          <w:rFonts w:cs="Tahoma"/>
          <w:color w:val="000000" w:themeColor="text1"/>
        </w:rPr>
        <w:lastRenderedPageBreak/>
        <w:t>7</w:t>
      </w:r>
      <w:r w:rsidR="00C31883" w:rsidRPr="00B3329E">
        <w:rPr>
          <w:rFonts w:cs="Tahoma"/>
          <w:color w:val="000000" w:themeColor="text1"/>
        </w:rPr>
        <w:t>.</w:t>
      </w:r>
      <w:r w:rsidRPr="00B3329E">
        <w:rPr>
          <w:rFonts w:cs="Tahoma"/>
          <w:color w:val="000000" w:themeColor="text1"/>
        </w:rPr>
        <w:t xml:space="preserve"> Conclusions</w:t>
      </w:r>
      <w:bookmarkEnd w:id="58"/>
    </w:p>
    <w:p w:rsidR="002C1FAA" w:rsidRPr="000027FE" w:rsidRDefault="002C1FAA" w:rsidP="00EA6483">
      <w:pPr>
        <w:spacing w:after="0"/>
        <w:rPr>
          <w:rFonts w:ascii="Tahoma" w:hAnsi="Tahoma" w:cs="Tahoma"/>
          <w:color w:val="000000" w:themeColor="text1"/>
        </w:rPr>
      </w:pPr>
    </w:p>
    <w:p w:rsidR="00F93F70" w:rsidRPr="000027FE" w:rsidRDefault="0020138D" w:rsidP="00F93F70">
      <w:pPr>
        <w:spacing w:after="0"/>
        <w:rPr>
          <w:rFonts w:ascii="Tahoma" w:hAnsi="Tahoma" w:cs="Tahoma"/>
          <w:color w:val="000000" w:themeColor="text1"/>
        </w:rPr>
      </w:pPr>
      <w:r w:rsidRPr="000027FE">
        <w:rPr>
          <w:rFonts w:ascii="Tahoma" w:hAnsi="Tahoma" w:cs="Tahoma"/>
          <w:color w:val="000000" w:themeColor="text1"/>
        </w:rPr>
        <w:t xml:space="preserve">Attracting investors to listed infrastructure is crucial for ensuring the vast capital requirement for developing </w:t>
      </w:r>
      <w:r w:rsidR="00547F70" w:rsidRPr="000027FE">
        <w:rPr>
          <w:rFonts w:ascii="Tahoma" w:hAnsi="Tahoma" w:cs="Tahoma"/>
          <w:color w:val="000000" w:themeColor="text1"/>
        </w:rPr>
        <w:t xml:space="preserve">new projects </w:t>
      </w:r>
      <w:r w:rsidRPr="000027FE">
        <w:rPr>
          <w:rFonts w:ascii="Tahoma" w:hAnsi="Tahoma" w:cs="Tahoma"/>
          <w:color w:val="000000" w:themeColor="text1"/>
        </w:rPr>
        <w:t>and maintain</w:t>
      </w:r>
      <w:r w:rsidR="00547F70" w:rsidRPr="000027FE">
        <w:rPr>
          <w:rFonts w:ascii="Tahoma" w:hAnsi="Tahoma" w:cs="Tahoma"/>
          <w:color w:val="000000" w:themeColor="text1"/>
        </w:rPr>
        <w:t xml:space="preserve">ing </w:t>
      </w:r>
      <w:r w:rsidR="00591699" w:rsidRPr="000027FE">
        <w:rPr>
          <w:rFonts w:ascii="Tahoma" w:hAnsi="Tahoma" w:cs="Tahoma"/>
          <w:color w:val="000000" w:themeColor="text1"/>
        </w:rPr>
        <w:t>existing</w:t>
      </w:r>
      <w:r w:rsidRPr="000027FE">
        <w:rPr>
          <w:rFonts w:ascii="Tahoma" w:hAnsi="Tahoma" w:cs="Tahoma"/>
          <w:color w:val="000000" w:themeColor="text1"/>
        </w:rPr>
        <w:t xml:space="preserve"> projects can be </w:t>
      </w:r>
      <w:r w:rsidR="00F93F70" w:rsidRPr="000027FE">
        <w:rPr>
          <w:rFonts w:ascii="Tahoma" w:hAnsi="Tahoma" w:cs="Tahoma"/>
          <w:color w:val="000000" w:themeColor="text1"/>
        </w:rPr>
        <w:t>supported by the private sector</w:t>
      </w:r>
      <w:r w:rsidRPr="000027FE">
        <w:rPr>
          <w:rFonts w:ascii="Tahoma" w:hAnsi="Tahoma" w:cs="Tahoma"/>
          <w:color w:val="000000" w:themeColor="text1"/>
        </w:rPr>
        <w:t xml:space="preserve">.  </w:t>
      </w:r>
      <w:r w:rsidR="00F93F70" w:rsidRPr="000027FE">
        <w:rPr>
          <w:rFonts w:ascii="Tahoma" w:hAnsi="Tahoma" w:cs="Tahoma"/>
          <w:color w:val="000000" w:themeColor="text1"/>
        </w:rPr>
        <w:t>Investors are mainly attracted to infrastructure for its diversification potential, a characteristic that the asset management industry has been happy to emphasise.  An accurate understanding of true nature of listed infrastructure investment is key to avoid</w:t>
      </w:r>
      <w:r w:rsidR="00591699" w:rsidRPr="000027FE">
        <w:rPr>
          <w:rFonts w:ascii="Tahoma" w:hAnsi="Tahoma" w:cs="Tahoma"/>
          <w:color w:val="000000" w:themeColor="text1"/>
        </w:rPr>
        <w:t>ing</w:t>
      </w:r>
      <w:r w:rsidR="00F93F70" w:rsidRPr="000027FE">
        <w:rPr>
          <w:rFonts w:ascii="Tahoma" w:hAnsi="Tahoma" w:cs="Tahoma"/>
          <w:color w:val="000000" w:themeColor="text1"/>
        </w:rPr>
        <w:t xml:space="preserve"> investor disappointment that could ultimately reduce the long-term supply of capital.</w:t>
      </w:r>
    </w:p>
    <w:p w:rsidR="00F93F70" w:rsidRPr="000027FE" w:rsidRDefault="00F93F70" w:rsidP="00F93F70">
      <w:pPr>
        <w:spacing w:after="0"/>
        <w:rPr>
          <w:rFonts w:ascii="Tahoma" w:hAnsi="Tahoma" w:cs="Tahoma"/>
          <w:color w:val="000000" w:themeColor="text1"/>
        </w:rPr>
      </w:pPr>
    </w:p>
    <w:p w:rsidR="001B558E" w:rsidRPr="000027FE" w:rsidRDefault="00414AA5" w:rsidP="00E138F1">
      <w:pPr>
        <w:spacing w:after="0"/>
        <w:rPr>
          <w:rFonts w:ascii="Tahoma" w:hAnsi="Tahoma" w:cs="Tahoma"/>
          <w:color w:val="000000" w:themeColor="text1"/>
        </w:rPr>
      </w:pPr>
      <w:r w:rsidRPr="000027FE">
        <w:rPr>
          <w:rFonts w:ascii="Tahoma" w:hAnsi="Tahoma" w:cs="Tahoma"/>
          <w:color w:val="000000" w:themeColor="text1"/>
        </w:rPr>
        <w:t>Much of the e</w:t>
      </w:r>
      <w:r w:rsidR="0020138D" w:rsidRPr="000027FE">
        <w:rPr>
          <w:rFonts w:ascii="Tahoma" w:hAnsi="Tahoma" w:cs="Tahoma"/>
          <w:color w:val="000000" w:themeColor="text1"/>
        </w:rPr>
        <w:t xml:space="preserve">xisting </w:t>
      </w:r>
      <w:r w:rsidR="00E138F1" w:rsidRPr="000027FE">
        <w:rPr>
          <w:rFonts w:ascii="Tahoma" w:hAnsi="Tahoma" w:cs="Tahoma"/>
          <w:color w:val="000000" w:themeColor="text1"/>
        </w:rPr>
        <w:t xml:space="preserve">research </w:t>
      </w:r>
      <w:r w:rsidR="00547F70" w:rsidRPr="000027FE">
        <w:rPr>
          <w:rFonts w:ascii="Tahoma" w:hAnsi="Tahoma" w:cs="Tahoma"/>
          <w:color w:val="000000" w:themeColor="text1"/>
        </w:rPr>
        <w:t xml:space="preserve">has presented mixed results and contradictory conclusions </w:t>
      </w:r>
      <w:r w:rsidR="00E138F1" w:rsidRPr="000027FE">
        <w:rPr>
          <w:rFonts w:ascii="Tahoma" w:hAnsi="Tahoma" w:cs="Tahoma"/>
          <w:color w:val="000000" w:themeColor="text1"/>
        </w:rPr>
        <w:t xml:space="preserve">about listed infrastructure’s diversification.  </w:t>
      </w:r>
      <w:r w:rsidRPr="000027FE">
        <w:rPr>
          <w:rFonts w:ascii="Tahoma" w:hAnsi="Tahoma" w:cs="Tahoma"/>
          <w:color w:val="000000" w:themeColor="text1"/>
        </w:rPr>
        <w:t xml:space="preserve">The current lack of consensus </w:t>
      </w:r>
      <w:r w:rsidR="00E138F1" w:rsidRPr="000027FE">
        <w:rPr>
          <w:rFonts w:ascii="Tahoma" w:hAnsi="Tahoma" w:cs="Tahoma"/>
          <w:color w:val="000000" w:themeColor="text1"/>
        </w:rPr>
        <w:t xml:space="preserve">may </w:t>
      </w:r>
      <w:r w:rsidR="00547F70" w:rsidRPr="000027FE">
        <w:rPr>
          <w:rFonts w:ascii="Tahoma" w:hAnsi="Tahoma" w:cs="Tahoma"/>
          <w:color w:val="000000" w:themeColor="text1"/>
        </w:rPr>
        <w:t xml:space="preserve">confuse </w:t>
      </w:r>
      <w:r w:rsidR="00873645" w:rsidRPr="000027FE">
        <w:rPr>
          <w:rFonts w:ascii="Tahoma" w:hAnsi="Tahoma" w:cs="Tahoma"/>
          <w:color w:val="000000" w:themeColor="text1"/>
        </w:rPr>
        <w:t>and deter potential investors</w:t>
      </w:r>
      <w:r w:rsidR="00E138F1" w:rsidRPr="000027FE">
        <w:rPr>
          <w:rFonts w:ascii="Tahoma" w:hAnsi="Tahoma" w:cs="Tahoma"/>
          <w:color w:val="000000" w:themeColor="text1"/>
        </w:rPr>
        <w:t xml:space="preserve"> so this</w:t>
      </w:r>
      <w:r w:rsidR="00547F70" w:rsidRPr="000027FE">
        <w:rPr>
          <w:rFonts w:ascii="Tahoma" w:hAnsi="Tahoma" w:cs="Tahoma"/>
          <w:color w:val="000000" w:themeColor="text1"/>
        </w:rPr>
        <w:t xml:space="preserve"> study has </w:t>
      </w:r>
      <w:r w:rsidR="00873645" w:rsidRPr="000027FE">
        <w:rPr>
          <w:rFonts w:ascii="Tahoma" w:hAnsi="Tahoma" w:cs="Tahoma"/>
          <w:color w:val="000000" w:themeColor="text1"/>
        </w:rPr>
        <w:t xml:space="preserve">sought to address the </w:t>
      </w:r>
      <w:r w:rsidR="00E138F1" w:rsidRPr="000027FE">
        <w:rPr>
          <w:rFonts w:ascii="Tahoma" w:hAnsi="Tahoma" w:cs="Tahoma"/>
          <w:color w:val="000000" w:themeColor="text1"/>
        </w:rPr>
        <w:t xml:space="preserve">inconsistencies and </w:t>
      </w:r>
      <w:r w:rsidR="00873645" w:rsidRPr="000027FE">
        <w:rPr>
          <w:rFonts w:ascii="Tahoma" w:hAnsi="Tahoma" w:cs="Tahoma"/>
          <w:color w:val="000000" w:themeColor="text1"/>
        </w:rPr>
        <w:t xml:space="preserve">shortcomings </w:t>
      </w:r>
      <w:r w:rsidR="00E138F1" w:rsidRPr="000027FE">
        <w:rPr>
          <w:rFonts w:ascii="Tahoma" w:hAnsi="Tahoma" w:cs="Tahoma"/>
          <w:color w:val="000000" w:themeColor="text1"/>
        </w:rPr>
        <w:t>by undertaking</w:t>
      </w:r>
      <w:r w:rsidR="00547F70" w:rsidRPr="000027FE">
        <w:rPr>
          <w:rFonts w:ascii="Tahoma" w:hAnsi="Tahoma" w:cs="Tahoma"/>
          <w:color w:val="000000" w:themeColor="text1"/>
        </w:rPr>
        <w:t xml:space="preserve"> a comprehensive review</w:t>
      </w:r>
      <w:r w:rsidRPr="000027FE">
        <w:rPr>
          <w:rFonts w:ascii="Tahoma" w:hAnsi="Tahoma" w:cs="Tahoma"/>
          <w:color w:val="000000" w:themeColor="text1"/>
        </w:rPr>
        <w:t xml:space="preserve">.  </w:t>
      </w:r>
    </w:p>
    <w:p w:rsidR="001B558E" w:rsidRPr="000027FE" w:rsidRDefault="001B558E" w:rsidP="00E138F1">
      <w:pPr>
        <w:spacing w:after="0"/>
        <w:rPr>
          <w:rFonts w:ascii="Tahoma" w:hAnsi="Tahoma" w:cs="Tahoma"/>
          <w:color w:val="000000" w:themeColor="text1"/>
        </w:rPr>
      </w:pPr>
    </w:p>
    <w:p w:rsidR="00414AA5" w:rsidRPr="000027FE" w:rsidRDefault="00414AA5" w:rsidP="00E138F1">
      <w:pPr>
        <w:spacing w:after="0"/>
        <w:rPr>
          <w:rFonts w:ascii="Tahoma" w:hAnsi="Tahoma" w:cs="Tahoma"/>
          <w:color w:val="000000" w:themeColor="text1"/>
        </w:rPr>
      </w:pPr>
      <w:r w:rsidRPr="000027FE">
        <w:rPr>
          <w:rFonts w:ascii="Tahoma" w:hAnsi="Tahoma" w:cs="Tahoma"/>
          <w:color w:val="000000" w:themeColor="text1"/>
        </w:rPr>
        <w:t xml:space="preserve">By studying </w:t>
      </w:r>
      <w:r w:rsidR="00E138F1" w:rsidRPr="000027FE">
        <w:rPr>
          <w:rFonts w:ascii="Tahoma" w:hAnsi="Tahoma" w:cs="Tahoma"/>
          <w:color w:val="000000" w:themeColor="text1"/>
        </w:rPr>
        <w:t>different strategies within the sector</w:t>
      </w:r>
      <w:r w:rsidR="00547F70" w:rsidRPr="000027FE">
        <w:rPr>
          <w:rFonts w:ascii="Tahoma" w:hAnsi="Tahoma" w:cs="Tahoma"/>
          <w:color w:val="000000" w:themeColor="text1"/>
        </w:rPr>
        <w:t xml:space="preserve"> </w:t>
      </w:r>
      <w:r w:rsidR="00E138F1" w:rsidRPr="000027FE">
        <w:rPr>
          <w:rFonts w:ascii="Tahoma" w:hAnsi="Tahoma" w:cs="Tahoma"/>
          <w:color w:val="000000" w:themeColor="text1"/>
        </w:rPr>
        <w:t>over many time periods it has been possible to draw more insightful conclusions about the historic performance of listed infrastructure that may help instruct expectations of future performance</w:t>
      </w:r>
      <w:r w:rsidRPr="000027FE">
        <w:rPr>
          <w:rFonts w:ascii="Tahoma" w:hAnsi="Tahoma" w:cs="Tahoma"/>
          <w:color w:val="000000" w:themeColor="text1"/>
        </w:rPr>
        <w:t xml:space="preserve"> and if it can be considered an asset class.</w:t>
      </w:r>
    </w:p>
    <w:p w:rsidR="001B558E" w:rsidRPr="000027FE" w:rsidRDefault="001B558E" w:rsidP="00591699">
      <w:pPr>
        <w:spacing w:after="0"/>
        <w:rPr>
          <w:rFonts w:ascii="Tahoma" w:hAnsi="Tahoma" w:cs="Tahoma"/>
          <w:color w:val="000000" w:themeColor="text1"/>
        </w:rPr>
      </w:pPr>
    </w:p>
    <w:p w:rsidR="001B558E" w:rsidRPr="000027FE" w:rsidRDefault="00414AA5" w:rsidP="001B558E">
      <w:pPr>
        <w:spacing w:after="0"/>
        <w:rPr>
          <w:rFonts w:ascii="Tahoma" w:hAnsi="Tahoma" w:cs="Tahoma"/>
          <w:color w:val="000000" w:themeColor="text1"/>
        </w:rPr>
      </w:pPr>
      <w:r w:rsidRPr="000027FE">
        <w:rPr>
          <w:rFonts w:ascii="Tahoma" w:hAnsi="Tahoma" w:cs="Tahoma"/>
          <w:color w:val="000000" w:themeColor="text1"/>
        </w:rPr>
        <w:t xml:space="preserve">Listed infrastructure cannot be considered an asset class in the traditional sense.  It is a </w:t>
      </w:r>
      <w:r w:rsidR="00547F70" w:rsidRPr="000027FE">
        <w:rPr>
          <w:rFonts w:ascii="Tahoma" w:hAnsi="Tahoma" w:cs="Tahoma"/>
          <w:color w:val="000000" w:themeColor="text1"/>
        </w:rPr>
        <w:t>heterogeneous, sub-set of the wider equity market and therefore fails</w:t>
      </w:r>
      <w:r w:rsidR="006759F3" w:rsidRPr="000027FE">
        <w:rPr>
          <w:rFonts w:ascii="Tahoma" w:hAnsi="Tahoma" w:cs="Tahoma"/>
          <w:color w:val="000000" w:themeColor="text1"/>
        </w:rPr>
        <w:t xml:space="preserve"> </w:t>
      </w:r>
      <w:r w:rsidR="00FC33E8" w:rsidRPr="000027FE">
        <w:rPr>
          <w:rFonts w:ascii="Tahoma" w:hAnsi="Tahoma" w:cs="Tahoma"/>
          <w:color w:val="000000" w:themeColor="text1"/>
        </w:rPr>
        <w:t xml:space="preserve">on </w:t>
      </w:r>
      <w:r w:rsidR="006759F3" w:rsidRPr="000027FE">
        <w:rPr>
          <w:rFonts w:ascii="Tahoma" w:hAnsi="Tahoma" w:cs="Tahoma"/>
          <w:color w:val="000000" w:themeColor="text1"/>
        </w:rPr>
        <w:t>both</w:t>
      </w:r>
      <w:r w:rsidR="00547F70" w:rsidRPr="000027FE">
        <w:rPr>
          <w:rFonts w:ascii="Tahoma" w:hAnsi="Tahoma" w:cs="Tahoma"/>
          <w:color w:val="000000" w:themeColor="text1"/>
        </w:rPr>
        <w:t xml:space="preserve"> the asset class test</w:t>
      </w:r>
      <w:r w:rsidR="00FC33E8" w:rsidRPr="000027FE">
        <w:rPr>
          <w:rFonts w:ascii="Tahoma" w:hAnsi="Tahoma" w:cs="Tahoma"/>
          <w:color w:val="000000" w:themeColor="text1"/>
        </w:rPr>
        <w:t>s</w:t>
      </w:r>
      <w:r w:rsidR="00547F70" w:rsidRPr="000027FE">
        <w:rPr>
          <w:rFonts w:ascii="Tahoma" w:hAnsi="Tahoma" w:cs="Tahoma"/>
          <w:color w:val="000000" w:themeColor="text1"/>
        </w:rPr>
        <w:t xml:space="preserve"> of homogeneity and uniq</w:t>
      </w:r>
      <w:r w:rsidR="006759F3" w:rsidRPr="000027FE">
        <w:rPr>
          <w:rFonts w:ascii="Tahoma" w:hAnsi="Tahoma" w:cs="Tahoma"/>
          <w:color w:val="000000" w:themeColor="text1"/>
        </w:rPr>
        <w:t xml:space="preserve">ueness.  </w:t>
      </w:r>
      <w:r w:rsidR="001B558E" w:rsidRPr="000027FE">
        <w:rPr>
          <w:rFonts w:ascii="Tahoma" w:hAnsi="Tahoma" w:cs="Tahoma"/>
          <w:color w:val="000000" w:themeColor="text1"/>
        </w:rPr>
        <w:t xml:space="preserve">This unevenness has been a factor in the contradictory views amongst academics.  However, it is misleading to </w:t>
      </w:r>
      <w:r w:rsidR="00FC33E8" w:rsidRPr="000027FE">
        <w:rPr>
          <w:rFonts w:ascii="Tahoma" w:hAnsi="Tahoma" w:cs="Tahoma"/>
          <w:color w:val="000000" w:themeColor="text1"/>
        </w:rPr>
        <w:t xml:space="preserve">extend this </w:t>
      </w:r>
      <w:r w:rsidR="001B558E" w:rsidRPr="000027FE">
        <w:rPr>
          <w:rFonts w:ascii="Tahoma" w:hAnsi="Tahoma" w:cs="Tahoma"/>
          <w:color w:val="000000" w:themeColor="text1"/>
        </w:rPr>
        <w:t xml:space="preserve">binary conclusion </w:t>
      </w:r>
      <w:r w:rsidR="00FC33E8" w:rsidRPr="000027FE">
        <w:rPr>
          <w:rFonts w:ascii="Tahoma" w:hAnsi="Tahoma" w:cs="Tahoma"/>
          <w:color w:val="000000" w:themeColor="text1"/>
        </w:rPr>
        <w:t>to the diversification characteristic as t</w:t>
      </w:r>
      <w:r w:rsidR="001B558E" w:rsidRPr="000027FE">
        <w:rPr>
          <w:rFonts w:ascii="Tahoma" w:hAnsi="Tahoma" w:cs="Tahoma"/>
          <w:color w:val="000000" w:themeColor="text1"/>
        </w:rPr>
        <w:t>he picture is far more mixed</w:t>
      </w:r>
      <w:r w:rsidR="00FC33E8" w:rsidRPr="000027FE">
        <w:rPr>
          <w:rFonts w:ascii="Tahoma" w:hAnsi="Tahoma" w:cs="Tahoma"/>
          <w:color w:val="000000" w:themeColor="text1"/>
        </w:rPr>
        <w:t xml:space="preserve">.  It is better to view listed infrastructure investments as </w:t>
      </w:r>
      <w:r w:rsidR="001B558E" w:rsidRPr="000027FE">
        <w:rPr>
          <w:rFonts w:ascii="Tahoma" w:hAnsi="Tahoma" w:cs="Tahoma"/>
          <w:color w:val="000000" w:themeColor="text1"/>
        </w:rPr>
        <w:t>a spectrum of diversification potential.</w:t>
      </w:r>
    </w:p>
    <w:p w:rsidR="001B558E" w:rsidRPr="000027FE" w:rsidRDefault="001B558E" w:rsidP="001B558E">
      <w:pPr>
        <w:spacing w:after="0"/>
        <w:rPr>
          <w:rFonts w:ascii="Tahoma" w:hAnsi="Tahoma" w:cs="Tahoma"/>
          <w:color w:val="000000" w:themeColor="text1"/>
        </w:rPr>
      </w:pPr>
    </w:p>
    <w:p w:rsidR="00FC33E8" w:rsidRPr="000027FE" w:rsidRDefault="00FC33E8" w:rsidP="00FC33E8">
      <w:pPr>
        <w:spacing w:after="0"/>
        <w:rPr>
          <w:rFonts w:ascii="Tahoma" w:hAnsi="Tahoma" w:cs="Tahoma"/>
          <w:color w:val="000000" w:themeColor="text1"/>
        </w:rPr>
      </w:pPr>
      <w:r w:rsidRPr="000027FE">
        <w:rPr>
          <w:rFonts w:ascii="Tahoma" w:hAnsi="Tahoma" w:cs="Tahoma"/>
          <w:color w:val="000000" w:themeColor="text1"/>
        </w:rPr>
        <w:t>I</w:t>
      </w:r>
      <w:r w:rsidR="001B558E" w:rsidRPr="000027FE">
        <w:rPr>
          <w:rFonts w:ascii="Tahoma" w:hAnsi="Tahoma" w:cs="Tahoma"/>
          <w:color w:val="000000" w:themeColor="text1"/>
        </w:rPr>
        <w:t xml:space="preserve">nfrastructure stocks </w:t>
      </w:r>
      <w:r w:rsidRPr="000027FE">
        <w:rPr>
          <w:rFonts w:ascii="Tahoma" w:hAnsi="Tahoma" w:cs="Tahoma"/>
          <w:color w:val="000000" w:themeColor="text1"/>
        </w:rPr>
        <w:t>were found to have very attractive diversification characteristics</w:t>
      </w:r>
      <w:r w:rsidR="001B558E" w:rsidRPr="000027FE">
        <w:rPr>
          <w:rFonts w:ascii="Tahoma" w:hAnsi="Tahoma" w:cs="Tahoma"/>
          <w:color w:val="000000" w:themeColor="text1"/>
        </w:rPr>
        <w:t xml:space="preserve"> with global equities over bot</w:t>
      </w:r>
      <w:r w:rsidRPr="000027FE">
        <w:rPr>
          <w:rFonts w:ascii="Tahoma" w:hAnsi="Tahoma" w:cs="Tahoma"/>
          <w:color w:val="000000" w:themeColor="text1"/>
        </w:rPr>
        <w:t>h long and short time periods.  This diversification was present across a range of sectors and in both benign market environments and in periods of stress.  This widespread, persistent diversification indicates investors can construct portfolios of infrastructure stocks in order to achieve diversification.  However, there</w:t>
      </w:r>
      <w:r w:rsidR="00EF219E" w:rsidRPr="000027FE">
        <w:rPr>
          <w:rFonts w:ascii="Tahoma" w:hAnsi="Tahoma" w:cs="Tahoma"/>
          <w:color w:val="000000" w:themeColor="text1"/>
        </w:rPr>
        <w:t xml:space="preserve"> are differences across stocks depending on their sector and</w:t>
      </w:r>
      <w:r w:rsidRPr="000027FE">
        <w:rPr>
          <w:rFonts w:ascii="Tahoma" w:hAnsi="Tahoma" w:cs="Tahoma"/>
          <w:color w:val="000000" w:themeColor="text1"/>
        </w:rPr>
        <w:t xml:space="preserve"> presence in mainstream equity indices</w:t>
      </w:r>
      <w:r w:rsidR="00EF219E" w:rsidRPr="000027FE">
        <w:rPr>
          <w:rFonts w:ascii="Tahoma" w:hAnsi="Tahoma" w:cs="Tahoma"/>
          <w:color w:val="000000" w:themeColor="text1"/>
        </w:rPr>
        <w:t xml:space="preserve">, which should be </w:t>
      </w:r>
      <w:r w:rsidRPr="000027FE">
        <w:rPr>
          <w:rFonts w:ascii="Tahoma" w:hAnsi="Tahoma" w:cs="Tahoma"/>
          <w:color w:val="000000" w:themeColor="text1"/>
        </w:rPr>
        <w:t>consider</w:t>
      </w:r>
      <w:r w:rsidR="00EF219E" w:rsidRPr="000027FE">
        <w:rPr>
          <w:rFonts w:ascii="Tahoma" w:hAnsi="Tahoma" w:cs="Tahoma"/>
          <w:color w:val="000000" w:themeColor="text1"/>
        </w:rPr>
        <w:t>ed by</w:t>
      </w:r>
      <w:r w:rsidRPr="000027FE">
        <w:rPr>
          <w:rFonts w:ascii="Tahoma" w:hAnsi="Tahoma" w:cs="Tahoma"/>
          <w:color w:val="000000" w:themeColor="text1"/>
        </w:rPr>
        <w:t xml:space="preserve"> investors and fund managers when selecting stock investments</w:t>
      </w:r>
      <w:r w:rsidR="003845D9">
        <w:rPr>
          <w:rFonts w:ascii="Tahoma" w:hAnsi="Tahoma" w:cs="Tahoma"/>
          <w:color w:val="000000" w:themeColor="text1"/>
        </w:rPr>
        <w:t xml:space="preserve"> to maximise diversification</w:t>
      </w:r>
      <w:r w:rsidRPr="000027FE">
        <w:rPr>
          <w:rFonts w:ascii="Tahoma" w:hAnsi="Tahoma" w:cs="Tahoma"/>
          <w:color w:val="000000" w:themeColor="text1"/>
        </w:rPr>
        <w:t>.</w:t>
      </w:r>
    </w:p>
    <w:p w:rsidR="001B558E" w:rsidRPr="000027FE" w:rsidRDefault="001B558E" w:rsidP="00547F70">
      <w:pPr>
        <w:spacing w:after="0"/>
        <w:rPr>
          <w:rFonts w:ascii="Tahoma" w:hAnsi="Tahoma" w:cs="Tahoma"/>
          <w:color w:val="000000" w:themeColor="text1"/>
        </w:rPr>
      </w:pPr>
    </w:p>
    <w:p w:rsidR="003C3A9E" w:rsidRPr="000027FE" w:rsidRDefault="003C3A9E" w:rsidP="003C3A9E">
      <w:pPr>
        <w:spacing w:after="0"/>
        <w:rPr>
          <w:rFonts w:ascii="Tahoma" w:hAnsi="Tahoma" w:cs="Tahoma"/>
          <w:color w:val="000000" w:themeColor="text1"/>
        </w:rPr>
      </w:pPr>
      <w:r w:rsidRPr="000027FE">
        <w:rPr>
          <w:rFonts w:ascii="Tahoma" w:hAnsi="Tahoma" w:cs="Tahoma"/>
          <w:color w:val="000000" w:themeColor="text1"/>
        </w:rPr>
        <w:t>Despite this rich opportunity set, t</w:t>
      </w:r>
      <w:r w:rsidR="00B26253" w:rsidRPr="000027FE">
        <w:rPr>
          <w:rFonts w:ascii="Tahoma" w:hAnsi="Tahoma" w:cs="Tahoma"/>
          <w:color w:val="000000" w:themeColor="text1"/>
        </w:rPr>
        <w:t xml:space="preserve">he </w:t>
      </w:r>
      <w:r w:rsidR="003845D9">
        <w:rPr>
          <w:rFonts w:ascii="Tahoma" w:hAnsi="Tahoma" w:cs="Tahoma"/>
          <w:color w:val="000000" w:themeColor="text1"/>
        </w:rPr>
        <w:t>investment</w:t>
      </w:r>
      <w:r w:rsidR="00B26253" w:rsidRPr="000027FE">
        <w:rPr>
          <w:rFonts w:ascii="Tahoma" w:hAnsi="Tahoma" w:cs="Tahoma"/>
          <w:color w:val="000000" w:themeColor="text1"/>
        </w:rPr>
        <w:t xml:space="preserve"> industry has not managed active funds or indices </w:t>
      </w:r>
      <w:r w:rsidR="003845D9">
        <w:rPr>
          <w:rFonts w:ascii="Tahoma" w:hAnsi="Tahoma" w:cs="Tahoma"/>
          <w:color w:val="000000" w:themeColor="text1"/>
        </w:rPr>
        <w:t xml:space="preserve">in a way that delivers </w:t>
      </w:r>
      <w:r w:rsidR="00B26253" w:rsidRPr="000027FE">
        <w:rPr>
          <w:rFonts w:ascii="Tahoma" w:hAnsi="Tahoma" w:cs="Tahoma"/>
          <w:color w:val="000000" w:themeColor="text1"/>
        </w:rPr>
        <w:t xml:space="preserve">the low correlation potential </w:t>
      </w:r>
      <w:r w:rsidR="003845D9">
        <w:rPr>
          <w:rFonts w:ascii="Tahoma" w:hAnsi="Tahoma" w:cs="Tahoma"/>
          <w:color w:val="000000" w:themeColor="text1"/>
        </w:rPr>
        <w:t>that is present in the</w:t>
      </w:r>
      <w:r w:rsidR="00B26253" w:rsidRPr="000027FE">
        <w:rPr>
          <w:rFonts w:ascii="Tahoma" w:hAnsi="Tahoma" w:cs="Tahoma"/>
          <w:color w:val="000000" w:themeColor="text1"/>
        </w:rPr>
        <w:t xml:space="preserve"> underlying universe of infrastructure stock</w:t>
      </w:r>
      <w:r w:rsidR="003845D9">
        <w:rPr>
          <w:rFonts w:ascii="Tahoma" w:hAnsi="Tahoma" w:cs="Tahoma"/>
          <w:color w:val="000000" w:themeColor="text1"/>
        </w:rPr>
        <w:t>s</w:t>
      </w:r>
      <w:r w:rsidR="00B26253" w:rsidRPr="000027FE">
        <w:rPr>
          <w:rFonts w:ascii="Tahoma" w:hAnsi="Tahoma" w:cs="Tahoma"/>
          <w:color w:val="000000" w:themeColor="text1"/>
        </w:rPr>
        <w:t>.  They have failed meet investors dem</w:t>
      </w:r>
      <w:r w:rsidRPr="000027FE">
        <w:rPr>
          <w:rFonts w:ascii="Tahoma" w:hAnsi="Tahoma" w:cs="Tahoma"/>
          <w:color w:val="000000" w:themeColor="text1"/>
        </w:rPr>
        <w:t xml:space="preserve">and for diversification.  The infrastructure indices that invest globally are found to have high correlation </w:t>
      </w:r>
      <w:r w:rsidR="003845D9">
        <w:rPr>
          <w:rFonts w:ascii="Tahoma" w:hAnsi="Tahoma" w:cs="Tahoma"/>
          <w:color w:val="000000" w:themeColor="text1"/>
        </w:rPr>
        <w:t xml:space="preserve">to global equities </w:t>
      </w:r>
      <w:r w:rsidRPr="000027FE">
        <w:rPr>
          <w:rFonts w:ascii="Tahoma" w:hAnsi="Tahoma" w:cs="Tahoma"/>
          <w:color w:val="000000" w:themeColor="text1"/>
        </w:rPr>
        <w:t xml:space="preserve">and should therefore be avoided entirely by investors that prioritise diversification. The </w:t>
      </w:r>
      <w:r w:rsidR="00B26253" w:rsidRPr="000027FE">
        <w:rPr>
          <w:rFonts w:ascii="Tahoma" w:hAnsi="Tahoma" w:cs="Tahoma"/>
          <w:color w:val="000000" w:themeColor="text1"/>
        </w:rPr>
        <w:t>industry needs to respond to these shortcomings by developing funds and strategies funds that better emphasise div</w:t>
      </w:r>
      <w:r w:rsidR="00190B27" w:rsidRPr="000027FE">
        <w:rPr>
          <w:rFonts w:ascii="Tahoma" w:hAnsi="Tahoma" w:cs="Tahoma"/>
          <w:color w:val="000000" w:themeColor="text1"/>
        </w:rPr>
        <w:t xml:space="preserve">ersification characteristics.  There is a large opportunity for active funds and indices that are able to deliver an outcome that truly delivers the potential that is available in the underlying stocks.  </w:t>
      </w:r>
      <w:r w:rsidRPr="000027FE">
        <w:rPr>
          <w:rFonts w:ascii="Tahoma" w:hAnsi="Tahoma" w:cs="Tahoma"/>
          <w:color w:val="000000" w:themeColor="text1"/>
        </w:rPr>
        <w:t xml:space="preserve">In the meantime, </w:t>
      </w:r>
      <w:r w:rsidR="00190B27" w:rsidRPr="000027FE">
        <w:rPr>
          <w:rFonts w:ascii="Tahoma" w:hAnsi="Tahoma" w:cs="Tahoma"/>
          <w:color w:val="000000" w:themeColor="text1"/>
        </w:rPr>
        <w:t>th</w:t>
      </w:r>
      <w:r w:rsidRPr="000027FE">
        <w:rPr>
          <w:rFonts w:ascii="Tahoma" w:hAnsi="Tahoma" w:cs="Tahoma"/>
          <w:color w:val="000000" w:themeColor="text1"/>
        </w:rPr>
        <w:t xml:space="preserve">e implication for investors looking to </w:t>
      </w:r>
      <w:r w:rsidR="00190B27" w:rsidRPr="000027FE">
        <w:rPr>
          <w:rFonts w:ascii="Tahoma" w:hAnsi="Tahoma" w:cs="Tahoma"/>
          <w:color w:val="000000" w:themeColor="text1"/>
        </w:rPr>
        <w:t xml:space="preserve">active funds </w:t>
      </w:r>
      <w:r w:rsidRPr="000027FE">
        <w:rPr>
          <w:rFonts w:ascii="Tahoma" w:hAnsi="Tahoma" w:cs="Tahoma"/>
          <w:color w:val="000000" w:themeColor="text1"/>
        </w:rPr>
        <w:t>for diversification is that they should consider the sector composition and presence of stocks in the MSCI world when making their selection</w:t>
      </w:r>
      <w:r w:rsidR="00190B27" w:rsidRPr="000027FE">
        <w:rPr>
          <w:rFonts w:ascii="Tahoma" w:hAnsi="Tahoma" w:cs="Tahoma"/>
          <w:color w:val="000000" w:themeColor="text1"/>
        </w:rPr>
        <w:t xml:space="preserve"> and monitoring</w:t>
      </w:r>
      <w:r w:rsidRPr="000027FE">
        <w:rPr>
          <w:rFonts w:ascii="Tahoma" w:hAnsi="Tahoma" w:cs="Tahoma"/>
          <w:color w:val="000000" w:themeColor="text1"/>
        </w:rPr>
        <w:t xml:space="preserve">.  </w:t>
      </w:r>
    </w:p>
    <w:p w:rsidR="009F733E" w:rsidRPr="00B3329E" w:rsidRDefault="009F733E" w:rsidP="009F733E">
      <w:pPr>
        <w:spacing w:after="0"/>
        <w:rPr>
          <w:rFonts w:ascii="Tahoma" w:hAnsi="Tahoma" w:cs="Tahoma"/>
          <w:color w:val="000000" w:themeColor="text1"/>
        </w:rPr>
      </w:pPr>
      <w:r w:rsidRPr="00B3329E">
        <w:rPr>
          <w:rFonts w:ascii="Tahoma" w:hAnsi="Tahoma" w:cs="Tahoma"/>
          <w:color w:val="000000" w:themeColor="text1"/>
        </w:rPr>
        <w:lastRenderedPageBreak/>
        <w:t>The downside of listed infrastructure, regardless of the method of accessing it, is that the diversification potential of lessens in periods of stress</w:t>
      </w:r>
      <w:r w:rsidR="003845D9">
        <w:rPr>
          <w:rFonts w:ascii="Tahoma" w:hAnsi="Tahoma" w:cs="Tahoma"/>
          <w:color w:val="000000" w:themeColor="text1"/>
        </w:rPr>
        <w:t xml:space="preserve">.  </w:t>
      </w:r>
      <w:r w:rsidRPr="00B3329E">
        <w:rPr>
          <w:rFonts w:ascii="Tahoma" w:hAnsi="Tahoma" w:cs="Tahoma"/>
          <w:color w:val="000000" w:themeColor="text1"/>
        </w:rPr>
        <w:t>Unfortunately, this is precisely the time when diversification is most needed</w:t>
      </w:r>
      <w:r w:rsidR="000921E3">
        <w:rPr>
          <w:rFonts w:ascii="Tahoma" w:hAnsi="Tahoma" w:cs="Tahoma"/>
          <w:color w:val="000000" w:themeColor="text1"/>
        </w:rPr>
        <w:t xml:space="preserve"> And serves as </w:t>
      </w:r>
      <w:r w:rsidRPr="00B3329E">
        <w:rPr>
          <w:rFonts w:ascii="Tahoma" w:hAnsi="Tahoma" w:cs="Tahoma"/>
          <w:color w:val="000000" w:themeColor="text1"/>
        </w:rPr>
        <w:t xml:space="preserve">a stark reminder of the limitations of listed infrastructure investments.  </w:t>
      </w:r>
    </w:p>
    <w:p w:rsidR="00112807" w:rsidRPr="00B3329E" w:rsidRDefault="00112807" w:rsidP="00EA6483">
      <w:pPr>
        <w:tabs>
          <w:tab w:val="left" w:pos="6288"/>
        </w:tabs>
        <w:spacing w:after="0"/>
        <w:rPr>
          <w:rFonts w:ascii="Tahoma" w:hAnsi="Tahoma" w:cs="Tahoma"/>
          <w:color w:val="000000" w:themeColor="text1"/>
        </w:rPr>
      </w:pPr>
    </w:p>
    <w:p w:rsidR="00004907" w:rsidRPr="00E04D19" w:rsidRDefault="002C1FAA" w:rsidP="00EA6483">
      <w:pPr>
        <w:tabs>
          <w:tab w:val="left" w:pos="6288"/>
        </w:tabs>
        <w:spacing w:after="0"/>
        <w:rPr>
          <w:rFonts w:ascii="Tahoma" w:hAnsi="Tahoma" w:cs="Tahoma"/>
          <w:color w:val="000000" w:themeColor="text1"/>
        </w:rPr>
      </w:pPr>
      <w:r w:rsidRPr="00B3329E">
        <w:rPr>
          <w:rFonts w:ascii="Tahoma" w:hAnsi="Tahoma" w:cs="Tahoma"/>
          <w:color w:val="000000" w:themeColor="text1"/>
        </w:rPr>
        <w:t xml:space="preserve">The short history of active funds and indices has been partially addressed through the study of multiple time periods but overall the strength of conclusions is still limited by only spanning two decades.  </w:t>
      </w:r>
      <w:r w:rsidR="00F614F9" w:rsidRPr="00B3329E">
        <w:rPr>
          <w:rFonts w:ascii="Tahoma" w:hAnsi="Tahoma" w:cs="Tahoma"/>
          <w:color w:val="000000" w:themeColor="text1"/>
        </w:rPr>
        <w:t>The trend of falling bond yields that has persisted for over three decades may have influenced dema</w:t>
      </w:r>
      <w:r w:rsidR="00004907" w:rsidRPr="00B3329E">
        <w:rPr>
          <w:rFonts w:ascii="Tahoma" w:hAnsi="Tahoma" w:cs="Tahoma"/>
          <w:color w:val="000000" w:themeColor="text1"/>
        </w:rPr>
        <w:t>nd for infrastructure given the perception of it being a diversifying asset class with high income and stable returns</w:t>
      </w:r>
      <w:r w:rsidR="00F614F9" w:rsidRPr="00B3329E">
        <w:rPr>
          <w:rFonts w:ascii="Tahoma" w:hAnsi="Tahoma" w:cs="Tahoma"/>
          <w:color w:val="000000" w:themeColor="text1"/>
        </w:rPr>
        <w:t>.  At the time of writing, bond yields around the world are far below their long-term average so not only may the tailwind of falling bond yields finishe</w:t>
      </w:r>
      <w:r w:rsidR="00004907" w:rsidRPr="00B3329E">
        <w:rPr>
          <w:rFonts w:ascii="Tahoma" w:hAnsi="Tahoma" w:cs="Tahoma"/>
          <w:color w:val="000000" w:themeColor="text1"/>
        </w:rPr>
        <w:t xml:space="preserve">d but the trend could reverse as in a </w:t>
      </w:r>
      <w:r w:rsidR="00F614F9" w:rsidRPr="00B3329E">
        <w:rPr>
          <w:rFonts w:ascii="Tahoma" w:hAnsi="Tahoma" w:cs="Tahoma"/>
          <w:color w:val="000000" w:themeColor="text1"/>
        </w:rPr>
        <w:t xml:space="preserve">rising bond government bond yields their </w:t>
      </w:r>
      <w:r w:rsidR="00004907" w:rsidRPr="00B3329E">
        <w:rPr>
          <w:rFonts w:ascii="Tahoma" w:hAnsi="Tahoma" w:cs="Tahoma"/>
          <w:color w:val="000000" w:themeColor="text1"/>
        </w:rPr>
        <w:t xml:space="preserve">relative </w:t>
      </w:r>
      <w:r w:rsidR="00F614F9" w:rsidRPr="00B3329E">
        <w:rPr>
          <w:rFonts w:ascii="Tahoma" w:hAnsi="Tahoma" w:cs="Tahoma"/>
          <w:color w:val="000000" w:themeColor="text1"/>
        </w:rPr>
        <w:t xml:space="preserve">attractiveness diminishes significantly when investors can achieve similar returns from risk-free government bonds.  Consequently, a study of listed infrastructure that considers the behaviour of these investments in an environment of rising bond yields will be particularly helpful for further enhancing the understanding of the nature </w:t>
      </w:r>
      <w:r w:rsidR="00D2006B" w:rsidRPr="00B3329E">
        <w:rPr>
          <w:rFonts w:ascii="Tahoma" w:hAnsi="Tahoma" w:cs="Tahoma"/>
          <w:color w:val="000000" w:themeColor="text1"/>
        </w:rPr>
        <w:t xml:space="preserve">of infrastructure investments.  </w:t>
      </w:r>
      <w:r w:rsidR="00F614F9" w:rsidRPr="00B3329E">
        <w:rPr>
          <w:rFonts w:ascii="Tahoma" w:hAnsi="Tahoma" w:cs="Tahoma"/>
          <w:color w:val="000000" w:themeColor="text1"/>
        </w:rPr>
        <w:t>It may take the passing of multiple market cycles over a period of decades before investors can be truly sure of the long-term investment characteristics of listed infrastructure.</w:t>
      </w:r>
    </w:p>
    <w:p w:rsidR="00FC33E8" w:rsidRDefault="00FC33E8">
      <w:pPr>
        <w:rPr>
          <w:rFonts w:ascii="Tahoma" w:eastAsiaTheme="majorEastAsia" w:hAnsi="Tahoma" w:cs="Tahoma"/>
          <w:b/>
          <w:color w:val="000000" w:themeColor="text1"/>
          <w:sz w:val="28"/>
          <w:szCs w:val="36"/>
        </w:rPr>
      </w:pPr>
      <w:bookmarkStart w:id="59" w:name="_Toc523311373"/>
      <w:r>
        <w:rPr>
          <w:rFonts w:cs="Tahoma"/>
          <w:color w:val="000000" w:themeColor="text1"/>
        </w:rPr>
        <w:br w:type="page"/>
      </w:r>
    </w:p>
    <w:p w:rsidR="00D85D5E" w:rsidRDefault="00D85D5E" w:rsidP="003363A1">
      <w:pPr>
        <w:pStyle w:val="1"/>
        <w:rPr>
          <w:rFonts w:cs="Tahoma"/>
          <w:color w:val="000000" w:themeColor="text1"/>
        </w:rPr>
      </w:pPr>
      <w:r>
        <w:rPr>
          <w:rFonts w:cs="Tahoma"/>
          <w:color w:val="000000" w:themeColor="text1"/>
        </w:rPr>
        <w:lastRenderedPageBreak/>
        <w:t xml:space="preserve">Tables </w:t>
      </w:r>
    </w:p>
    <w:p w:rsidR="00D85D5E" w:rsidRDefault="00D85D5E" w:rsidP="005469A2"/>
    <w:p w:rsidR="00D85D5E" w:rsidRPr="00EF4E60" w:rsidRDefault="00D85D5E" w:rsidP="00D85D5E">
      <w:pPr>
        <w:pStyle w:val="ab"/>
        <w:rPr>
          <w:color w:val="000000" w:themeColor="text1"/>
        </w:rPr>
      </w:pPr>
      <w:r w:rsidRPr="00EF4E60">
        <w:t>Table 1: Int</w:t>
      </w:r>
      <w:r>
        <w:t>e</w:t>
      </w:r>
      <w:r w:rsidRPr="00EF4E60">
        <w:t>rpreti</w:t>
      </w:r>
      <w:r>
        <w:t>ng Correlation</w:t>
      </w:r>
    </w:p>
    <w:tbl>
      <w:tblPr>
        <w:tblW w:w="7078" w:type="dxa"/>
        <w:jc w:val="center"/>
        <w:tblLook w:val="04A0" w:firstRow="1" w:lastRow="0" w:firstColumn="1" w:lastColumn="0" w:noHBand="0" w:noVBand="1"/>
      </w:tblPr>
      <w:tblGrid>
        <w:gridCol w:w="2967"/>
        <w:gridCol w:w="4111"/>
      </w:tblGrid>
      <w:tr w:rsidR="00D85D5E" w:rsidRPr="00B3329E" w:rsidTr="00AF16F2">
        <w:trPr>
          <w:trHeight w:val="300"/>
          <w:jc w:val="center"/>
        </w:trPr>
        <w:tc>
          <w:tcPr>
            <w:tcW w:w="2967" w:type="dxa"/>
            <w:tcBorders>
              <w:top w:val="single" w:sz="8" w:space="0" w:color="auto"/>
              <w:left w:val="single" w:sz="8" w:space="0" w:color="auto"/>
              <w:bottom w:val="single" w:sz="8" w:space="0" w:color="auto"/>
              <w:right w:val="single" w:sz="8" w:space="0" w:color="888888"/>
            </w:tcBorders>
            <w:shd w:val="clear" w:color="000000" w:fill="D9D9D9"/>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Size of Correlation</w:t>
            </w:r>
          </w:p>
        </w:tc>
        <w:tc>
          <w:tcPr>
            <w:tcW w:w="4111" w:type="dxa"/>
            <w:tcBorders>
              <w:top w:val="single" w:sz="8" w:space="0" w:color="auto"/>
              <w:left w:val="nil"/>
              <w:bottom w:val="single" w:sz="8" w:space="0" w:color="auto"/>
              <w:right w:val="single" w:sz="8" w:space="0" w:color="auto"/>
            </w:tcBorders>
            <w:shd w:val="clear" w:color="000000" w:fill="D9D9D9"/>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Interpretation</w:t>
            </w:r>
          </w:p>
        </w:tc>
      </w:tr>
      <w:tr w:rsidR="00D85D5E" w:rsidRPr="00B3329E" w:rsidTr="00AF16F2">
        <w:trPr>
          <w:trHeight w:val="300"/>
          <w:jc w:val="center"/>
        </w:trPr>
        <w:tc>
          <w:tcPr>
            <w:tcW w:w="2967" w:type="dxa"/>
            <w:tcBorders>
              <w:top w:val="nil"/>
              <w:left w:val="single" w:sz="8" w:space="0" w:color="000000"/>
              <w:bottom w:val="single" w:sz="8" w:space="0" w:color="888888"/>
              <w:right w:val="single" w:sz="8" w:space="0" w:color="888888"/>
            </w:tcBorders>
            <w:shd w:val="clear" w:color="000000" w:fill="FFFFFF"/>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.90 to 1.00 (−.90 to −1.00)</w:t>
            </w:r>
          </w:p>
        </w:tc>
        <w:tc>
          <w:tcPr>
            <w:tcW w:w="4111" w:type="dxa"/>
            <w:tcBorders>
              <w:top w:val="nil"/>
              <w:left w:val="nil"/>
              <w:bottom w:val="single" w:sz="8" w:space="0" w:color="888888"/>
              <w:right w:val="single" w:sz="8" w:space="0" w:color="000000"/>
            </w:tcBorders>
            <w:shd w:val="clear" w:color="000000" w:fill="FFFFFF"/>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Very high positive (negative) correlation</w:t>
            </w:r>
          </w:p>
        </w:tc>
      </w:tr>
      <w:tr w:rsidR="00D85D5E" w:rsidRPr="00B3329E" w:rsidTr="00AF16F2">
        <w:trPr>
          <w:trHeight w:val="300"/>
          <w:jc w:val="center"/>
        </w:trPr>
        <w:tc>
          <w:tcPr>
            <w:tcW w:w="2967" w:type="dxa"/>
            <w:tcBorders>
              <w:top w:val="nil"/>
              <w:left w:val="single" w:sz="8" w:space="0" w:color="000000"/>
              <w:bottom w:val="single" w:sz="8" w:space="0" w:color="888888"/>
              <w:right w:val="single" w:sz="8" w:space="0" w:color="888888"/>
            </w:tcBorders>
            <w:shd w:val="clear" w:color="000000" w:fill="FFFFFF"/>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.70 to .90 (−.70 to −.90)</w:t>
            </w:r>
          </w:p>
        </w:tc>
        <w:tc>
          <w:tcPr>
            <w:tcW w:w="4111" w:type="dxa"/>
            <w:tcBorders>
              <w:top w:val="nil"/>
              <w:left w:val="nil"/>
              <w:bottom w:val="single" w:sz="8" w:space="0" w:color="888888"/>
              <w:right w:val="single" w:sz="8" w:space="0" w:color="000000"/>
            </w:tcBorders>
            <w:shd w:val="clear" w:color="000000" w:fill="FFFFFF"/>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High positive (negative) correlation</w:t>
            </w:r>
          </w:p>
        </w:tc>
      </w:tr>
      <w:tr w:rsidR="00D85D5E" w:rsidRPr="00B3329E" w:rsidTr="00AF16F2">
        <w:trPr>
          <w:trHeight w:val="300"/>
          <w:jc w:val="center"/>
        </w:trPr>
        <w:tc>
          <w:tcPr>
            <w:tcW w:w="2967" w:type="dxa"/>
            <w:tcBorders>
              <w:top w:val="nil"/>
              <w:left w:val="single" w:sz="8" w:space="0" w:color="000000"/>
              <w:bottom w:val="single" w:sz="8" w:space="0" w:color="888888"/>
              <w:right w:val="single" w:sz="8" w:space="0" w:color="888888"/>
            </w:tcBorders>
            <w:shd w:val="clear" w:color="000000" w:fill="FFFFFF"/>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.50 to .70 (−.50 to −.70)</w:t>
            </w:r>
          </w:p>
        </w:tc>
        <w:tc>
          <w:tcPr>
            <w:tcW w:w="4111" w:type="dxa"/>
            <w:tcBorders>
              <w:top w:val="nil"/>
              <w:left w:val="nil"/>
              <w:bottom w:val="single" w:sz="8" w:space="0" w:color="888888"/>
              <w:right w:val="single" w:sz="8" w:space="0" w:color="000000"/>
            </w:tcBorders>
            <w:shd w:val="clear" w:color="000000" w:fill="FFFFFF"/>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Moderate positive (negative) correlation</w:t>
            </w:r>
          </w:p>
        </w:tc>
      </w:tr>
      <w:tr w:rsidR="00D85D5E" w:rsidRPr="00B3329E" w:rsidTr="00AF16F2">
        <w:trPr>
          <w:trHeight w:val="300"/>
          <w:jc w:val="center"/>
        </w:trPr>
        <w:tc>
          <w:tcPr>
            <w:tcW w:w="2967" w:type="dxa"/>
            <w:tcBorders>
              <w:top w:val="nil"/>
              <w:left w:val="single" w:sz="8" w:space="0" w:color="000000"/>
              <w:bottom w:val="single" w:sz="8" w:space="0" w:color="888888"/>
              <w:right w:val="single" w:sz="8" w:space="0" w:color="888888"/>
            </w:tcBorders>
            <w:shd w:val="clear" w:color="000000" w:fill="FFFFFF"/>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.30 to .50 (−.30 to −.50)</w:t>
            </w:r>
          </w:p>
        </w:tc>
        <w:tc>
          <w:tcPr>
            <w:tcW w:w="4111" w:type="dxa"/>
            <w:tcBorders>
              <w:top w:val="nil"/>
              <w:left w:val="nil"/>
              <w:bottom w:val="single" w:sz="8" w:space="0" w:color="888888"/>
              <w:right w:val="single" w:sz="8" w:space="0" w:color="000000"/>
            </w:tcBorders>
            <w:shd w:val="clear" w:color="000000" w:fill="FFFFFF"/>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Low positive (negative) correlation</w:t>
            </w:r>
          </w:p>
        </w:tc>
      </w:tr>
      <w:tr w:rsidR="00D85D5E" w:rsidRPr="00B3329E" w:rsidTr="00AF16F2">
        <w:trPr>
          <w:trHeight w:val="300"/>
          <w:jc w:val="center"/>
        </w:trPr>
        <w:tc>
          <w:tcPr>
            <w:tcW w:w="2967" w:type="dxa"/>
            <w:tcBorders>
              <w:top w:val="nil"/>
              <w:left w:val="single" w:sz="8" w:space="0" w:color="000000"/>
              <w:bottom w:val="single" w:sz="8" w:space="0" w:color="000000"/>
              <w:right w:val="single" w:sz="8" w:space="0" w:color="888888"/>
            </w:tcBorders>
            <w:shd w:val="clear" w:color="000000" w:fill="FFFFFF"/>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.00 to .30 (.00 to −.30)</w:t>
            </w:r>
          </w:p>
        </w:tc>
        <w:tc>
          <w:tcPr>
            <w:tcW w:w="4111" w:type="dxa"/>
            <w:tcBorders>
              <w:top w:val="nil"/>
              <w:left w:val="nil"/>
              <w:bottom w:val="single" w:sz="8" w:space="0" w:color="000000"/>
              <w:right w:val="single" w:sz="8" w:space="0" w:color="000000"/>
            </w:tcBorders>
            <w:shd w:val="clear" w:color="000000" w:fill="FFFFFF"/>
            <w:hideMark/>
          </w:tcPr>
          <w:p w:rsidR="00D85D5E" w:rsidRPr="00B3329E" w:rsidRDefault="00D85D5E" w:rsidP="00AF16F2">
            <w:pPr>
              <w:spacing w:after="0"/>
              <w:rPr>
                <w:rFonts w:ascii="Tahoma" w:hAnsi="Tahoma" w:cs="Tahoma"/>
                <w:color w:val="000000" w:themeColor="text1"/>
                <w:lang w:eastAsia="en-GB"/>
              </w:rPr>
            </w:pPr>
            <w:r w:rsidRPr="00B3329E">
              <w:rPr>
                <w:rFonts w:ascii="Tahoma" w:hAnsi="Tahoma" w:cs="Tahoma"/>
                <w:color w:val="000000" w:themeColor="text1"/>
                <w:lang w:eastAsia="en-GB"/>
              </w:rPr>
              <w:t>Negligible correlation</w:t>
            </w:r>
          </w:p>
        </w:tc>
      </w:tr>
    </w:tbl>
    <w:p w:rsidR="00D85D5E" w:rsidRPr="00B3329E" w:rsidRDefault="00D85D5E" w:rsidP="00D85D5E">
      <w:pPr>
        <w:spacing w:after="0"/>
        <w:rPr>
          <w:rFonts w:ascii="Tahoma" w:hAnsi="Tahoma" w:cs="Tahoma"/>
          <w:color w:val="000000" w:themeColor="text1"/>
        </w:rPr>
      </w:pPr>
    </w:p>
    <w:p w:rsidR="00D85D5E" w:rsidRPr="005469A2" w:rsidRDefault="00D85D5E" w:rsidP="005469A2"/>
    <w:p w:rsidR="00D85D5E" w:rsidRPr="00EF4E60" w:rsidRDefault="00D85D5E" w:rsidP="00D85D5E">
      <w:pPr>
        <w:pStyle w:val="ab"/>
      </w:pPr>
      <w:r w:rsidRPr="00EF4E60">
        <w:t>Table 2: Long term correlation of infrastructure stocks and global equities</w:t>
      </w:r>
    </w:p>
    <w:tbl>
      <w:tblPr>
        <w:tblW w:w="8505" w:type="dxa"/>
        <w:jc w:val="center"/>
        <w:tblLook w:val="04A0" w:firstRow="1" w:lastRow="0" w:firstColumn="1" w:lastColumn="0" w:noHBand="0" w:noVBand="1"/>
      </w:tblPr>
      <w:tblGrid>
        <w:gridCol w:w="2127"/>
        <w:gridCol w:w="2126"/>
        <w:gridCol w:w="2126"/>
        <w:gridCol w:w="2126"/>
      </w:tblGrid>
      <w:tr w:rsidR="00D85D5E" w:rsidRPr="00B3329E" w:rsidTr="00D85D5E">
        <w:trPr>
          <w:trHeight w:val="288"/>
          <w:jc w:val="center"/>
        </w:trPr>
        <w:tc>
          <w:tcPr>
            <w:tcW w:w="2127" w:type="dxa"/>
            <w:tcBorders>
              <w:top w:val="single" w:sz="4" w:space="0" w:color="auto"/>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Start Date</w:t>
            </w:r>
          </w:p>
        </w:tc>
        <w:tc>
          <w:tcPr>
            <w:tcW w:w="2126" w:type="dxa"/>
            <w:tcBorders>
              <w:top w:val="single" w:sz="4" w:space="0" w:color="auto"/>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01/07/2008</w:t>
            </w:r>
          </w:p>
        </w:tc>
        <w:tc>
          <w:tcPr>
            <w:tcW w:w="2126" w:type="dxa"/>
            <w:tcBorders>
              <w:top w:val="single" w:sz="4" w:space="0" w:color="auto"/>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01/07/2003</w:t>
            </w:r>
          </w:p>
        </w:tc>
        <w:tc>
          <w:tcPr>
            <w:tcW w:w="2126" w:type="dxa"/>
            <w:tcBorders>
              <w:top w:val="single" w:sz="4" w:space="0" w:color="auto"/>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01/07/1998</w:t>
            </w:r>
          </w:p>
        </w:tc>
      </w:tr>
      <w:tr w:rsidR="00D85D5E" w:rsidRPr="00B3329E" w:rsidTr="00D85D5E">
        <w:trPr>
          <w:trHeight w:val="288"/>
          <w:jc w:val="center"/>
        </w:trPr>
        <w:tc>
          <w:tcPr>
            <w:tcW w:w="2127" w:type="dxa"/>
            <w:tcBorders>
              <w:top w:val="nil"/>
              <w:left w:val="nil"/>
              <w:bottom w:val="single" w:sz="4" w:space="0" w:color="auto"/>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End Date</w:t>
            </w:r>
          </w:p>
        </w:tc>
        <w:tc>
          <w:tcPr>
            <w:tcW w:w="2126" w:type="dxa"/>
            <w:tcBorders>
              <w:top w:val="nil"/>
              <w:left w:val="nil"/>
              <w:bottom w:val="single" w:sz="4"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c>
          <w:tcPr>
            <w:tcW w:w="2126" w:type="dxa"/>
            <w:tcBorders>
              <w:top w:val="nil"/>
              <w:left w:val="nil"/>
              <w:bottom w:val="single" w:sz="4"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c>
          <w:tcPr>
            <w:tcW w:w="2126" w:type="dxa"/>
            <w:tcBorders>
              <w:top w:val="nil"/>
              <w:left w:val="nil"/>
              <w:bottom w:val="single" w:sz="4"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r>
      <w:tr w:rsidR="00D85D5E" w:rsidRPr="00B3329E" w:rsidTr="00D85D5E">
        <w:trPr>
          <w:trHeight w:val="288"/>
          <w:jc w:val="center"/>
        </w:trPr>
        <w:tc>
          <w:tcPr>
            <w:tcW w:w="2127"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b/>
                <w:bCs/>
                <w:color w:val="000000" w:themeColor="text1"/>
                <w:sz w:val="18"/>
                <w:szCs w:val="18"/>
                <w:lang w:eastAsia="en-GB"/>
              </w:rPr>
            </w:pP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p>
        </w:tc>
      </w:tr>
      <w:tr w:rsidR="00D85D5E" w:rsidRPr="00B3329E" w:rsidTr="00D85D5E">
        <w:trPr>
          <w:trHeight w:val="288"/>
          <w:jc w:val="center"/>
        </w:trPr>
        <w:tc>
          <w:tcPr>
            <w:tcW w:w="2127"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Mean</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0.39</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0.37</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0.32</w:t>
            </w:r>
          </w:p>
        </w:tc>
      </w:tr>
      <w:tr w:rsidR="00D85D5E" w:rsidRPr="00B3329E" w:rsidTr="00D85D5E">
        <w:trPr>
          <w:trHeight w:val="288"/>
          <w:jc w:val="center"/>
        </w:trPr>
        <w:tc>
          <w:tcPr>
            <w:tcW w:w="2127"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Standard Deviation</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0.16</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0.15</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0.16</w:t>
            </w:r>
          </w:p>
        </w:tc>
      </w:tr>
      <w:tr w:rsidR="00D85D5E" w:rsidRPr="00B3329E" w:rsidTr="00D85D5E">
        <w:trPr>
          <w:trHeight w:val="288"/>
          <w:jc w:val="center"/>
        </w:trPr>
        <w:tc>
          <w:tcPr>
            <w:tcW w:w="2127"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Kurtosis</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-0.33</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-0.36</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-0.69</w:t>
            </w:r>
          </w:p>
        </w:tc>
      </w:tr>
      <w:tr w:rsidR="00D85D5E" w:rsidRPr="00B3329E" w:rsidTr="00D85D5E">
        <w:trPr>
          <w:trHeight w:val="288"/>
          <w:jc w:val="center"/>
        </w:trPr>
        <w:tc>
          <w:tcPr>
            <w:tcW w:w="2127"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Skewness</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-0.04</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0.07</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0.35</w:t>
            </w:r>
          </w:p>
        </w:tc>
      </w:tr>
      <w:tr w:rsidR="00D85D5E" w:rsidRPr="00B3329E" w:rsidTr="00D85D5E">
        <w:trPr>
          <w:trHeight w:val="288"/>
          <w:jc w:val="center"/>
        </w:trPr>
        <w:tc>
          <w:tcPr>
            <w:tcW w:w="2127"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Minimum</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-0.08</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0.02</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-0.02</w:t>
            </w:r>
          </w:p>
        </w:tc>
      </w:tr>
      <w:tr w:rsidR="00D85D5E" w:rsidRPr="00B3329E" w:rsidTr="00D85D5E">
        <w:trPr>
          <w:trHeight w:val="288"/>
          <w:jc w:val="center"/>
        </w:trPr>
        <w:tc>
          <w:tcPr>
            <w:tcW w:w="2127"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Maximum</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0.84</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0.79</w:t>
            </w:r>
          </w:p>
        </w:tc>
        <w:tc>
          <w:tcPr>
            <w:tcW w:w="2126"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0.68</w:t>
            </w:r>
          </w:p>
        </w:tc>
      </w:tr>
      <w:tr w:rsidR="00D85D5E" w:rsidRPr="00B3329E" w:rsidTr="00D85D5E">
        <w:trPr>
          <w:trHeight w:val="300"/>
          <w:jc w:val="center"/>
        </w:trPr>
        <w:tc>
          <w:tcPr>
            <w:tcW w:w="2127" w:type="dxa"/>
            <w:tcBorders>
              <w:top w:val="nil"/>
              <w:left w:val="nil"/>
              <w:bottom w:val="single" w:sz="8" w:space="0" w:color="auto"/>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c>
          <w:tcPr>
            <w:tcW w:w="2126" w:type="dxa"/>
            <w:tcBorders>
              <w:top w:val="nil"/>
              <w:left w:val="nil"/>
              <w:bottom w:val="single" w:sz="8"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564</w:t>
            </w:r>
          </w:p>
        </w:tc>
        <w:tc>
          <w:tcPr>
            <w:tcW w:w="2126" w:type="dxa"/>
            <w:tcBorders>
              <w:top w:val="nil"/>
              <w:left w:val="nil"/>
              <w:bottom w:val="single" w:sz="8"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429</w:t>
            </w:r>
          </w:p>
        </w:tc>
        <w:tc>
          <w:tcPr>
            <w:tcW w:w="2126" w:type="dxa"/>
            <w:tcBorders>
              <w:top w:val="nil"/>
              <w:left w:val="nil"/>
              <w:bottom w:val="single" w:sz="8"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177</w:t>
            </w:r>
          </w:p>
        </w:tc>
      </w:tr>
    </w:tbl>
    <w:p w:rsidR="00D85D5E" w:rsidRDefault="00D85D5E" w:rsidP="00D85D5E">
      <w:pPr>
        <w:pStyle w:val="ab"/>
      </w:pPr>
    </w:p>
    <w:p w:rsidR="00D85D5E" w:rsidRPr="00AB0BAE" w:rsidRDefault="00D85D5E" w:rsidP="00D85D5E">
      <w:pPr>
        <w:pStyle w:val="ab"/>
      </w:pPr>
      <w:r w:rsidRPr="00E97A1D">
        <w:t>Table 3: Long term correlation of infrastructure stock sectors and global equities</w:t>
      </w:r>
    </w:p>
    <w:tbl>
      <w:tblPr>
        <w:tblW w:w="9026" w:type="dxa"/>
        <w:tblLook w:val="04A0" w:firstRow="1" w:lastRow="0" w:firstColumn="1" w:lastColumn="0" w:noHBand="0" w:noVBand="1"/>
      </w:tblPr>
      <w:tblGrid>
        <w:gridCol w:w="2506"/>
        <w:gridCol w:w="1180"/>
        <w:gridCol w:w="999"/>
        <w:gridCol w:w="1271"/>
        <w:gridCol w:w="699"/>
        <w:gridCol w:w="1672"/>
        <w:gridCol w:w="699"/>
      </w:tblGrid>
      <w:tr w:rsidR="00D85D5E" w:rsidRPr="00B3329E" w:rsidTr="00AF16F2">
        <w:trPr>
          <w:trHeight w:val="288"/>
        </w:trPr>
        <w:tc>
          <w:tcPr>
            <w:tcW w:w="2506" w:type="dxa"/>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Start date</w:t>
            </w:r>
          </w:p>
        </w:tc>
        <w:tc>
          <w:tcPr>
            <w:tcW w:w="2179" w:type="dxa"/>
            <w:gridSpan w:val="2"/>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01/07/2008</w:t>
            </w:r>
          </w:p>
        </w:tc>
        <w:tc>
          <w:tcPr>
            <w:tcW w:w="1970" w:type="dxa"/>
            <w:gridSpan w:val="2"/>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01/07/2003</w:t>
            </w:r>
          </w:p>
        </w:tc>
        <w:tc>
          <w:tcPr>
            <w:tcW w:w="2371" w:type="dxa"/>
            <w:gridSpan w:val="2"/>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01/07/1998</w:t>
            </w:r>
          </w:p>
        </w:tc>
      </w:tr>
      <w:tr w:rsidR="00D85D5E" w:rsidRPr="00B3329E" w:rsidTr="00AF16F2">
        <w:trPr>
          <w:trHeight w:val="288"/>
        </w:trPr>
        <w:tc>
          <w:tcPr>
            <w:tcW w:w="2506"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End date</w:t>
            </w:r>
          </w:p>
        </w:tc>
        <w:tc>
          <w:tcPr>
            <w:tcW w:w="2179" w:type="dxa"/>
            <w:gridSpan w:val="2"/>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c>
          <w:tcPr>
            <w:tcW w:w="1970" w:type="dxa"/>
            <w:gridSpan w:val="2"/>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c>
          <w:tcPr>
            <w:tcW w:w="2371" w:type="dxa"/>
            <w:gridSpan w:val="2"/>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r>
      <w:tr w:rsidR="00D85D5E" w:rsidRPr="00B3329E" w:rsidTr="00AF16F2">
        <w:trPr>
          <w:trHeight w:val="514"/>
        </w:trPr>
        <w:tc>
          <w:tcPr>
            <w:tcW w:w="2506"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1180" w:type="dxa"/>
            <w:tcBorders>
              <w:top w:val="nil"/>
              <w:left w:val="nil"/>
              <w:bottom w:val="single" w:sz="4" w:space="0" w:color="auto"/>
              <w:right w:val="nil"/>
            </w:tcBorders>
            <w:shd w:val="clear" w:color="auto" w:fill="auto"/>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Correlation</w:t>
            </w:r>
          </w:p>
        </w:tc>
        <w:tc>
          <w:tcPr>
            <w:tcW w:w="999" w:type="dxa"/>
            <w:tcBorders>
              <w:top w:val="nil"/>
              <w:left w:val="nil"/>
              <w:bottom w:val="single" w:sz="4" w:space="0" w:color="auto"/>
              <w:right w:val="nil"/>
            </w:tcBorders>
            <w:shd w:val="clear" w:color="auto" w:fill="auto"/>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c>
          <w:tcPr>
            <w:tcW w:w="1271" w:type="dxa"/>
            <w:tcBorders>
              <w:top w:val="nil"/>
              <w:left w:val="nil"/>
              <w:bottom w:val="single" w:sz="4" w:space="0" w:color="auto"/>
              <w:right w:val="nil"/>
            </w:tcBorders>
            <w:shd w:val="clear" w:color="auto" w:fill="auto"/>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Correlation</w:t>
            </w:r>
          </w:p>
        </w:tc>
        <w:tc>
          <w:tcPr>
            <w:tcW w:w="699" w:type="dxa"/>
            <w:tcBorders>
              <w:top w:val="nil"/>
              <w:left w:val="nil"/>
              <w:bottom w:val="single" w:sz="4" w:space="0" w:color="auto"/>
              <w:right w:val="nil"/>
            </w:tcBorders>
            <w:shd w:val="clear" w:color="auto" w:fill="auto"/>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c>
          <w:tcPr>
            <w:tcW w:w="1672" w:type="dxa"/>
            <w:tcBorders>
              <w:top w:val="nil"/>
              <w:left w:val="nil"/>
              <w:bottom w:val="single" w:sz="4" w:space="0" w:color="auto"/>
              <w:right w:val="nil"/>
            </w:tcBorders>
            <w:shd w:val="clear" w:color="auto" w:fill="auto"/>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Correlation</w:t>
            </w:r>
          </w:p>
        </w:tc>
        <w:tc>
          <w:tcPr>
            <w:tcW w:w="699" w:type="dxa"/>
            <w:tcBorders>
              <w:top w:val="nil"/>
              <w:left w:val="nil"/>
              <w:bottom w:val="single" w:sz="4" w:space="0" w:color="auto"/>
              <w:right w:val="nil"/>
            </w:tcBorders>
            <w:shd w:val="clear" w:color="auto" w:fill="auto"/>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r>
      <w:tr w:rsidR="00D85D5E" w:rsidRPr="00B3329E" w:rsidTr="00AF16F2">
        <w:trPr>
          <w:trHeight w:val="288"/>
        </w:trPr>
        <w:tc>
          <w:tcPr>
            <w:tcW w:w="2506"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Basic Materials</w:t>
            </w:r>
          </w:p>
        </w:tc>
        <w:tc>
          <w:tcPr>
            <w:tcW w:w="1180"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42.0%</w:t>
            </w:r>
          </w:p>
        </w:tc>
        <w:tc>
          <w:tcPr>
            <w:tcW w:w="9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57</w:t>
            </w:r>
          </w:p>
        </w:tc>
        <w:tc>
          <w:tcPr>
            <w:tcW w:w="1271"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39.2%</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41</w:t>
            </w:r>
          </w:p>
        </w:tc>
        <w:tc>
          <w:tcPr>
            <w:tcW w:w="1672"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37.1%</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9</w:t>
            </w:r>
          </w:p>
        </w:tc>
      </w:tr>
      <w:tr w:rsidR="00D85D5E" w:rsidRPr="00B3329E" w:rsidTr="00AF16F2">
        <w:trPr>
          <w:trHeight w:val="288"/>
        </w:trPr>
        <w:tc>
          <w:tcPr>
            <w:tcW w:w="2506"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Communication Services</w:t>
            </w:r>
          </w:p>
        </w:tc>
        <w:tc>
          <w:tcPr>
            <w:tcW w:w="1180"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35.4%</w:t>
            </w:r>
          </w:p>
        </w:tc>
        <w:tc>
          <w:tcPr>
            <w:tcW w:w="9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37</w:t>
            </w:r>
          </w:p>
        </w:tc>
        <w:tc>
          <w:tcPr>
            <w:tcW w:w="1271"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35.7%</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31</w:t>
            </w:r>
          </w:p>
        </w:tc>
        <w:tc>
          <w:tcPr>
            <w:tcW w:w="1672"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39.5%</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15</w:t>
            </w:r>
          </w:p>
        </w:tc>
      </w:tr>
      <w:tr w:rsidR="00D85D5E" w:rsidRPr="00B3329E" w:rsidTr="00AF16F2">
        <w:trPr>
          <w:trHeight w:val="288"/>
        </w:trPr>
        <w:tc>
          <w:tcPr>
            <w:tcW w:w="2506"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Consumer Cyclical</w:t>
            </w:r>
          </w:p>
        </w:tc>
        <w:tc>
          <w:tcPr>
            <w:tcW w:w="1180"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37.0%</w:t>
            </w:r>
          </w:p>
        </w:tc>
        <w:tc>
          <w:tcPr>
            <w:tcW w:w="9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14</w:t>
            </w:r>
          </w:p>
        </w:tc>
        <w:tc>
          <w:tcPr>
            <w:tcW w:w="1271"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38.5%</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13</w:t>
            </w:r>
          </w:p>
        </w:tc>
        <w:tc>
          <w:tcPr>
            <w:tcW w:w="1672"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43.4%</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w:t>
            </w:r>
          </w:p>
        </w:tc>
      </w:tr>
      <w:tr w:rsidR="00D85D5E" w:rsidRPr="00B3329E" w:rsidTr="00AF16F2">
        <w:trPr>
          <w:trHeight w:val="288"/>
        </w:trPr>
        <w:tc>
          <w:tcPr>
            <w:tcW w:w="2506"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Energy</w:t>
            </w:r>
          </w:p>
        </w:tc>
        <w:tc>
          <w:tcPr>
            <w:tcW w:w="1180"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38.0%</w:t>
            </w:r>
          </w:p>
        </w:tc>
        <w:tc>
          <w:tcPr>
            <w:tcW w:w="9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41</w:t>
            </w:r>
          </w:p>
        </w:tc>
        <w:tc>
          <w:tcPr>
            <w:tcW w:w="1271"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36.0%</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31</w:t>
            </w:r>
          </w:p>
        </w:tc>
        <w:tc>
          <w:tcPr>
            <w:tcW w:w="1672"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26.1%</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10</w:t>
            </w:r>
          </w:p>
        </w:tc>
      </w:tr>
      <w:tr w:rsidR="00D85D5E" w:rsidRPr="00B3329E" w:rsidTr="00AF16F2">
        <w:trPr>
          <w:trHeight w:val="288"/>
        </w:trPr>
        <w:tc>
          <w:tcPr>
            <w:tcW w:w="2506"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Financial Services</w:t>
            </w:r>
          </w:p>
        </w:tc>
        <w:tc>
          <w:tcPr>
            <w:tcW w:w="1180"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44.9%</w:t>
            </w:r>
          </w:p>
        </w:tc>
        <w:tc>
          <w:tcPr>
            <w:tcW w:w="9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w:t>
            </w:r>
          </w:p>
        </w:tc>
        <w:tc>
          <w:tcPr>
            <w:tcW w:w="1271"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59.1%</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w:t>
            </w:r>
          </w:p>
        </w:tc>
        <w:tc>
          <w:tcPr>
            <w:tcW w:w="1672"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w:t>
            </w:r>
          </w:p>
        </w:tc>
      </w:tr>
      <w:tr w:rsidR="00D85D5E" w:rsidRPr="00B3329E" w:rsidTr="00AF16F2">
        <w:trPr>
          <w:trHeight w:val="288"/>
        </w:trPr>
        <w:tc>
          <w:tcPr>
            <w:tcW w:w="2506"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Healthcare</w:t>
            </w:r>
          </w:p>
        </w:tc>
        <w:tc>
          <w:tcPr>
            <w:tcW w:w="1180"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47.0%</w:t>
            </w:r>
          </w:p>
        </w:tc>
        <w:tc>
          <w:tcPr>
            <w:tcW w:w="9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w:t>
            </w:r>
          </w:p>
        </w:tc>
        <w:tc>
          <w:tcPr>
            <w:tcW w:w="1271"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38.6%</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w:t>
            </w:r>
          </w:p>
        </w:tc>
        <w:tc>
          <w:tcPr>
            <w:tcW w:w="1672"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26.1%</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w:t>
            </w:r>
          </w:p>
        </w:tc>
      </w:tr>
      <w:tr w:rsidR="00D85D5E" w:rsidRPr="00B3329E" w:rsidTr="00AF16F2">
        <w:trPr>
          <w:trHeight w:val="288"/>
        </w:trPr>
        <w:tc>
          <w:tcPr>
            <w:tcW w:w="2506"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Industrials</w:t>
            </w:r>
          </w:p>
        </w:tc>
        <w:tc>
          <w:tcPr>
            <w:tcW w:w="1180"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45.0%</w:t>
            </w:r>
          </w:p>
        </w:tc>
        <w:tc>
          <w:tcPr>
            <w:tcW w:w="9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178</w:t>
            </w:r>
          </w:p>
        </w:tc>
        <w:tc>
          <w:tcPr>
            <w:tcW w:w="1271"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42.1%</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125</w:t>
            </w:r>
          </w:p>
        </w:tc>
        <w:tc>
          <w:tcPr>
            <w:tcW w:w="1672"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36.3%</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42</w:t>
            </w:r>
          </w:p>
        </w:tc>
      </w:tr>
      <w:tr w:rsidR="00D85D5E" w:rsidRPr="00B3329E" w:rsidTr="00AF16F2">
        <w:trPr>
          <w:trHeight w:val="288"/>
        </w:trPr>
        <w:tc>
          <w:tcPr>
            <w:tcW w:w="2506" w:type="dxa"/>
            <w:tcBorders>
              <w:top w:val="nil"/>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Real Estate</w:t>
            </w:r>
          </w:p>
        </w:tc>
        <w:tc>
          <w:tcPr>
            <w:tcW w:w="1180"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48.7%</w:t>
            </w:r>
          </w:p>
        </w:tc>
        <w:tc>
          <w:tcPr>
            <w:tcW w:w="9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14</w:t>
            </w:r>
          </w:p>
        </w:tc>
        <w:tc>
          <w:tcPr>
            <w:tcW w:w="1271"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43.5%</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8</w:t>
            </w:r>
          </w:p>
        </w:tc>
        <w:tc>
          <w:tcPr>
            <w:tcW w:w="1672"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48.4%</w:t>
            </w:r>
          </w:p>
        </w:tc>
        <w:tc>
          <w:tcPr>
            <w:tcW w:w="699" w:type="dxa"/>
            <w:tcBorders>
              <w:top w:val="nil"/>
              <w:left w:val="nil"/>
              <w:bottom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w:t>
            </w:r>
          </w:p>
        </w:tc>
      </w:tr>
      <w:tr w:rsidR="00D85D5E" w:rsidRPr="00B3329E" w:rsidTr="00AF16F2">
        <w:trPr>
          <w:trHeight w:val="288"/>
        </w:trPr>
        <w:tc>
          <w:tcPr>
            <w:tcW w:w="2506" w:type="dxa"/>
            <w:tcBorders>
              <w:top w:val="nil"/>
              <w:left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Technology</w:t>
            </w:r>
          </w:p>
        </w:tc>
        <w:tc>
          <w:tcPr>
            <w:tcW w:w="1180" w:type="dxa"/>
            <w:tcBorders>
              <w:top w:val="nil"/>
              <w:left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48.7%</w:t>
            </w:r>
          </w:p>
        </w:tc>
        <w:tc>
          <w:tcPr>
            <w:tcW w:w="999" w:type="dxa"/>
            <w:tcBorders>
              <w:top w:val="nil"/>
              <w:left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43</w:t>
            </w:r>
          </w:p>
        </w:tc>
        <w:tc>
          <w:tcPr>
            <w:tcW w:w="1271" w:type="dxa"/>
            <w:tcBorders>
              <w:top w:val="nil"/>
              <w:left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45.1%</w:t>
            </w:r>
          </w:p>
        </w:tc>
        <w:tc>
          <w:tcPr>
            <w:tcW w:w="699" w:type="dxa"/>
            <w:tcBorders>
              <w:top w:val="nil"/>
              <w:left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35</w:t>
            </w:r>
          </w:p>
        </w:tc>
        <w:tc>
          <w:tcPr>
            <w:tcW w:w="1672" w:type="dxa"/>
            <w:tcBorders>
              <w:top w:val="nil"/>
              <w:left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44.1%</w:t>
            </w:r>
          </w:p>
        </w:tc>
        <w:tc>
          <w:tcPr>
            <w:tcW w:w="699" w:type="dxa"/>
            <w:tcBorders>
              <w:top w:val="nil"/>
              <w:left w:val="nil"/>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21</w:t>
            </w:r>
          </w:p>
        </w:tc>
      </w:tr>
      <w:tr w:rsidR="00D85D5E" w:rsidRPr="00B3329E" w:rsidTr="00AF16F2">
        <w:trPr>
          <w:trHeight w:val="288"/>
        </w:trPr>
        <w:tc>
          <w:tcPr>
            <w:tcW w:w="2506" w:type="dxa"/>
            <w:tcBorders>
              <w:top w:val="nil"/>
              <w:left w:val="nil"/>
              <w:bottom w:val="single" w:sz="4" w:space="0" w:color="auto"/>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Utilities</w:t>
            </w:r>
          </w:p>
        </w:tc>
        <w:tc>
          <w:tcPr>
            <w:tcW w:w="1180" w:type="dxa"/>
            <w:tcBorders>
              <w:top w:val="nil"/>
              <w:left w:val="nil"/>
              <w:bottom w:val="single" w:sz="4"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29.9%</w:t>
            </w:r>
          </w:p>
        </w:tc>
        <w:tc>
          <w:tcPr>
            <w:tcW w:w="999" w:type="dxa"/>
            <w:tcBorders>
              <w:top w:val="nil"/>
              <w:left w:val="nil"/>
              <w:bottom w:val="single" w:sz="4"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170</w:t>
            </w:r>
          </w:p>
        </w:tc>
        <w:tc>
          <w:tcPr>
            <w:tcW w:w="1271" w:type="dxa"/>
            <w:tcBorders>
              <w:top w:val="nil"/>
              <w:left w:val="nil"/>
              <w:bottom w:val="single" w:sz="4"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29.9%</w:t>
            </w:r>
          </w:p>
        </w:tc>
        <w:tc>
          <w:tcPr>
            <w:tcW w:w="699" w:type="dxa"/>
            <w:tcBorders>
              <w:top w:val="nil"/>
              <w:left w:val="nil"/>
              <w:bottom w:val="single" w:sz="4"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137</w:t>
            </w:r>
          </w:p>
        </w:tc>
        <w:tc>
          <w:tcPr>
            <w:tcW w:w="1672" w:type="dxa"/>
            <w:tcBorders>
              <w:top w:val="nil"/>
              <w:left w:val="nil"/>
              <w:bottom w:val="single" w:sz="4"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22.5%</w:t>
            </w:r>
          </w:p>
        </w:tc>
        <w:tc>
          <w:tcPr>
            <w:tcW w:w="699" w:type="dxa"/>
            <w:tcBorders>
              <w:top w:val="nil"/>
              <w:left w:val="nil"/>
              <w:bottom w:val="single" w:sz="4" w:space="0" w:color="auto"/>
              <w:right w:val="nil"/>
            </w:tcBorders>
            <w:shd w:val="clear" w:color="auto" w:fill="auto"/>
            <w:noWrap/>
            <w:vAlign w:val="center"/>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67</w:t>
            </w:r>
          </w:p>
        </w:tc>
      </w:tr>
    </w:tbl>
    <w:p w:rsidR="00D85D5E" w:rsidRDefault="00D85D5E" w:rsidP="00D85D5E">
      <w:pPr>
        <w:spacing w:after="0"/>
        <w:rPr>
          <w:rFonts w:ascii="Tahoma" w:hAnsi="Tahoma" w:cs="Tahoma"/>
          <w:color w:val="000000" w:themeColor="text1"/>
        </w:rPr>
      </w:pPr>
    </w:p>
    <w:p w:rsidR="00D85D5E" w:rsidRDefault="00D85D5E" w:rsidP="00D85D5E">
      <w:pPr>
        <w:spacing w:after="0"/>
        <w:rPr>
          <w:rFonts w:ascii="Tahoma" w:hAnsi="Tahoma" w:cs="Tahoma"/>
          <w:color w:val="000000" w:themeColor="text1"/>
        </w:rPr>
      </w:pPr>
    </w:p>
    <w:p w:rsidR="00D85D5E" w:rsidRDefault="00D85D5E" w:rsidP="00D85D5E">
      <w:pPr>
        <w:pStyle w:val="ab"/>
      </w:pPr>
    </w:p>
    <w:p w:rsidR="00D85D5E" w:rsidRDefault="00D85D5E" w:rsidP="00D85D5E">
      <w:pPr>
        <w:pStyle w:val="ab"/>
      </w:pPr>
    </w:p>
    <w:p w:rsidR="00D85D5E" w:rsidRDefault="00D85D5E" w:rsidP="00D85D5E">
      <w:pPr>
        <w:pStyle w:val="ab"/>
      </w:pPr>
    </w:p>
    <w:p w:rsidR="00D85D5E" w:rsidRDefault="00D85D5E" w:rsidP="00D85D5E">
      <w:pPr>
        <w:pStyle w:val="ab"/>
      </w:pPr>
    </w:p>
    <w:p w:rsidR="00D85D5E" w:rsidRPr="00AB0BAE" w:rsidRDefault="00D85D5E" w:rsidP="00D85D5E">
      <w:pPr>
        <w:pStyle w:val="ab"/>
      </w:pPr>
      <w:r w:rsidRPr="00490BC9">
        <w:lastRenderedPageBreak/>
        <w:t xml:space="preserve">Table </w:t>
      </w:r>
      <w:r>
        <w:t>4</w:t>
      </w:r>
      <w:r w:rsidRPr="00490BC9">
        <w:t>: Long term correlation of infrastructure stocks in MSCI World and global equities</w:t>
      </w:r>
    </w:p>
    <w:tbl>
      <w:tblPr>
        <w:tblW w:w="8060" w:type="dxa"/>
        <w:tblLook w:val="04A0" w:firstRow="1" w:lastRow="0" w:firstColumn="1" w:lastColumn="0" w:noHBand="0" w:noVBand="1"/>
      </w:tblPr>
      <w:tblGrid>
        <w:gridCol w:w="2268"/>
        <w:gridCol w:w="1606"/>
        <w:gridCol w:w="2093"/>
        <w:gridCol w:w="2093"/>
      </w:tblGrid>
      <w:tr w:rsidR="00D85D5E" w:rsidRPr="00B3329E" w:rsidTr="00AF16F2">
        <w:trPr>
          <w:trHeight w:val="383"/>
        </w:trPr>
        <w:tc>
          <w:tcPr>
            <w:tcW w:w="2268" w:type="dxa"/>
            <w:tcBorders>
              <w:top w:val="single" w:sz="4" w:space="0" w:color="auto"/>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5792" w:type="dxa"/>
            <w:gridSpan w:val="3"/>
            <w:tcBorders>
              <w:top w:val="single" w:sz="4" w:space="0" w:color="auto"/>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Overlap with MSCI World</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Start date</w:t>
            </w:r>
          </w:p>
        </w:tc>
        <w:tc>
          <w:tcPr>
            <w:tcW w:w="1606"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01/07/2008</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01/07/2003</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01/07/1998</w:t>
            </w:r>
          </w:p>
        </w:tc>
      </w:tr>
      <w:tr w:rsidR="00D85D5E" w:rsidRPr="00B3329E" w:rsidTr="00AF16F2">
        <w:trPr>
          <w:trHeight w:val="288"/>
        </w:trPr>
        <w:tc>
          <w:tcPr>
            <w:tcW w:w="2268"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End date</w:t>
            </w:r>
          </w:p>
        </w:tc>
        <w:tc>
          <w:tcPr>
            <w:tcW w:w="1606"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c>
          <w:tcPr>
            <w:tcW w:w="2093"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c>
          <w:tcPr>
            <w:tcW w:w="2093"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Mean</w:t>
            </w:r>
          </w:p>
        </w:tc>
        <w:tc>
          <w:tcPr>
            <w:tcW w:w="1606"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0.43</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0.41</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0.34</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Standard Deviation</w:t>
            </w:r>
          </w:p>
        </w:tc>
        <w:tc>
          <w:tcPr>
            <w:tcW w:w="1606"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0.19</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0.17</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0.18</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Kurtosis</w:t>
            </w:r>
          </w:p>
        </w:tc>
        <w:tc>
          <w:tcPr>
            <w:tcW w:w="1606"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-0.85</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-0.78</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-1.02</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Skewness</w:t>
            </w:r>
          </w:p>
        </w:tc>
        <w:tc>
          <w:tcPr>
            <w:tcW w:w="1606"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-0.15</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-0.08</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Minimum</w:t>
            </w:r>
          </w:p>
        </w:tc>
        <w:tc>
          <w:tcPr>
            <w:tcW w:w="1606"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-0.01</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0.04</w:t>
            </w:r>
          </w:p>
        </w:tc>
        <w:tc>
          <w:tcPr>
            <w:tcW w:w="2093"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-0.02</w:t>
            </w:r>
          </w:p>
        </w:tc>
      </w:tr>
      <w:tr w:rsidR="00D85D5E" w:rsidRPr="00B3329E" w:rsidTr="00AF16F2">
        <w:trPr>
          <w:trHeight w:val="288"/>
        </w:trPr>
        <w:tc>
          <w:tcPr>
            <w:tcW w:w="2268" w:type="dxa"/>
            <w:tcBorders>
              <w:top w:val="nil"/>
              <w:left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Maximum</w:t>
            </w:r>
          </w:p>
        </w:tc>
        <w:tc>
          <w:tcPr>
            <w:tcW w:w="1606" w:type="dxa"/>
            <w:tcBorders>
              <w:top w:val="nil"/>
              <w:left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0.84</w:t>
            </w:r>
          </w:p>
        </w:tc>
        <w:tc>
          <w:tcPr>
            <w:tcW w:w="2093" w:type="dxa"/>
            <w:tcBorders>
              <w:top w:val="nil"/>
              <w:left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0.79</w:t>
            </w:r>
          </w:p>
        </w:tc>
        <w:tc>
          <w:tcPr>
            <w:tcW w:w="2093" w:type="dxa"/>
            <w:tcBorders>
              <w:top w:val="nil"/>
              <w:left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0.65</w:t>
            </w:r>
          </w:p>
        </w:tc>
      </w:tr>
      <w:tr w:rsidR="00D85D5E" w:rsidRPr="00B3329E" w:rsidTr="00AF16F2">
        <w:trPr>
          <w:trHeight w:val="288"/>
        </w:trPr>
        <w:tc>
          <w:tcPr>
            <w:tcW w:w="2268"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c>
          <w:tcPr>
            <w:tcW w:w="1606"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154</w:t>
            </w:r>
          </w:p>
        </w:tc>
        <w:tc>
          <w:tcPr>
            <w:tcW w:w="2093"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139</w:t>
            </w:r>
          </w:p>
        </w:tc>
        <w:tc>
          <w:tcPr>
            <w:tcW w:w="2093"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81</w:t>
            </w:r>
          </w:p>
        </w:tc>
      </w:tr>
    </w:tbl>
    <w:p w:rsidR="00D85D5E" w:rsidRDefault="00D85D5E" w:rsidP="00D85D5E">
      <w:pPr>
        <w:spacing w:after="0"/>
        <w:rPr>
          <w:rFonts w:ascii="Tahoma" w:hAnsi="Tahoma" w:cs="Tahoma"/>
          <w:color w:val="000000" w:themeColor="text1"/>
        </w:rPr>
      </w:pPr>
    </w:p>
    <w:p w:rsidR="00D85D5E" w:rsidRDefault="00D85D5E" w:rsidP="00D85D5E">
      <w:pPr>
        <w:spacing w:after="0"/>
        <w:rPr>
          <w:rFonts w:ascii="Tahoma" w:hAnsi="Tahoma" w:cs="Tahoma"/>
          <w:color w:val="000000" w:themeColor="text1"/>
        </w:rPr>
      </w:pPr>
    </w:p>
    <w:p w:rsidR="00D85D5E" w:rsidRPr="00AB0BAE" w:rsidRDefault="00D85D5E" w:rsidP="00D85D5E">
      <w:pPr>
        <w:pStyle w:val="ab"/>
      </w:pPr>
      <w:r w:rsidRPr="00490BC9">
        <w:t xml:space="preserve">Table </w:t>
      </w:r>
      <w:r>
        <w:t>5</w:t>
      </w:r>
      <w:r w:rsidRPr="00490BC9">
        <w:t>: Long term correlation of infrastructure stocks not in MSCI World and global equities</w:t>
      </w:r>
    </w:p>
    <w:tbl>
      <w:tblPr>
        <w:tblW w:w="8265" w:type="dxa"/>
        <w:tblLook w:val="04A0" w:firstRow="1" w:lastRow="0" w:firstColumn="1" w:lastColumn="0" w:noHBand="0" w:noVBand="1"/>
      </w:tblPr>
      <w:tblGrid>
        <w:gridCol w:w="2268"/>
        <w:gridCol w:w="1651"/>
        <w:gridCol w:w="2173"/>
        <w:gridCol w:w="2173"/>
      </w:tblGrid>
      <w:tr w:rsidR="00D85D5E" w:rsidRPr="00B3329E" w:rsidTr="00AF16F2">
        <w:trPr>
          <w:trHeight w:val="416"/>
        </w:trPr>
        <w:tc>
          <w:tcPr>
            <w:tcW w:w="2268" w:type="dxa"/>
            <w:tcBorders>
              <w:top w:val="single" w:sz="4" w:space="0" w:color="auto"/>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5997" w:type="dxa"/>
            <w:gridSpan w:val="3"/>
            <w:tcBorders>
              <w:top w:val="single" w:sz="4" w:space="0" w:color="auto"/>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Not present in MSCI World</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Start date</w:t>
            </w:r>
          </w:p>
        </w:tc>
        <w:tc>
          <w:tcPr>
            <w:tcW w:w="1651"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01/07/2008</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01/07/2003</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01/07/1998</w:t>
            </w:r>
          </w:p>
        </w:tc>
      </w:tr>
      <w:tr w:rsidR="00D85D5E" w:rsidRPr="00B3329E" w:rsidTr="00AF16F2">
        <w:trPr>
          <w:trHeight w:val="288"/>
        </w:trPr>
        <w:tc>
          <w:tcPr>
            <w:tcW w:w="2268"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End date</w:t>
            </w:r>
          </w:p>
        </w:tc>
        <w:tc>
          <w:tcPr>
            <w:tcW w:w="1651"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c>
          <w:tcPr>
            <w:tcW w:w="2173"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c>
          <w:tcPr>
            <w:tcW w:w="2173"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Mean</w:t>
            </w:r>
          </w:p>
        </w:tc>
        <w:tc>
          <w:tcPr>
            <w:tcW w:w="1651"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0.35</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0.30</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Standard Deviation</w:t>
            </w:r>
          </w:p>
        </w:tc>
        <w:tc>
          <w:tcPr>
            <w:tcW w:w="1651"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0.15</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0.13</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0.15</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Kurtosis</w:t>
            </w:r>
          </w:p>
        </w:tc>
        <w:tc>
          <w:tcPr>
            <w:tcW w:w="1651"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-0.19</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-0.15</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Skewness</w:t>
            </w:r>
          </w:p>
        </w:tc>
        <w:tc>
          <w:tcPr>
            <w:tcW w:w="1651"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-0.14</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-0.03</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0.57</w:t>
            </w:r>
          </w:p>
        </w:tc>
      </w:tr>
      <w:tr w:rsidR="00D85D5E" w:rsidRPr="00B3329E" w:rsidTr="00AF16F2">
        <w:trPr>
          <w:trHeight w:val="288"/>
        </w:trPr>
        <w:tc>
          <w:tcPr>
            <w:tcW w:w="2268"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Minimum</w:t>
            </w:r>
          </w:p>
        </w:tc>
        <w:tc>
          <w:tcPr>
            <w:tcW w:w="1651"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-0.08</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0.02</w:t>
            </w:r>
          </w:p>
        </w:tc>
        <w:tc>
          <w:tcPr>
            <w:tcW w:w="2173"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0.01</w:t>
            </w:r>
          </w:p>
        </w:tc>
      </w:tr>
      <w:tr w:rsidR="00D85D5E" w:rsidRPr="00B3329E" w:rsidTr="00AF16F2">
        <w:trPr>
          <w:trHeight w:val="288"/>
        </w:trPr>
        <w:tc>
          <w:tcPr>
            <w:tcW w:w="2268" w:type="dxa"/>
            <w:tcBorders>
              <w:top w:val="nil"/>
              <w:left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Maximum</w:t>
            </w:r>
          </w:p>
        </w:tc>
        <w:tc>
          <w:tcPr>
            <w:tcW w:w="1651" w:type="dxa"/>
            <w:tcBorders>
              <w:top w:val="nil"/>
              <w:left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0.78</w:t>
            </w:r>
          </w:p>
        </w:tc>
        <w:tc>
          <w:tcPr>
            <w:tcW w:w="2173" w:type="dxa"/>
            <w:tcBorders>
              <w:top w:val="nil"/>
              <w:left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0.74</w:t>
            </w:r>
          </w:p>
        </w:tc>
        <w:tc>
          <w:tcPr>
            <w:tcW w:w="2173" w:type="dxa"/>
            <w:tcBorders>
              <w:top w:val="nil"/>
              <w:left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0.68</w:t>
            </w:r>
          </w:p>
        </w:tc>
      </w:tr>
      <w:tr w:rsidR="00D85D5E" w:rsidRPr="00B3329E" w:rsidTr="00AF16F2">
        <w:trPr>
          <w:trHeight w:val="288"/>
        </w:trPr>
        <w:tc>
          <w:tcPr>
            <w:tcW w:w="2268"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c>
          <w:tcPr>
            <w:tcW w:w="1651"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409</w:t>
            </w:r>
          </w:p>
        </w:tc>
        <w:tc>
          <w:tcPr>
            <w:tcW w:w="2173"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290</w:t>
            </w:r>
          </w:p>
        </w:tc>
        <w:tc>
          <w:tcPr>
            <w:tcW w:w="2173"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96</w:t>
            </w:r>
          </w:p>
        </w:tc>
      </w:tr>
    </w:tbl>
    <w:p w:rsidR="00D85D5E" w:rsidRPr="00B3329E" w:rsidRDefault="00D85D5E" w:rsidP="00D85D5E">
      <w:pPr>
        <w:spacing w:after="0"/>
        <w:rPr>
          <w:rFonts w:ascii="Tahoma" w:hAnsi="Tahoma" w:cs="Tahoma"/>
          <w:color w:val="000000" w:themeColor="text1"/>
        </w:rPr>
      </w:pPr>
    </w:p>
    <w:p w:rsidR="00D85D5E" w:rsidRPr="00AB0BAE" w:rsidRDefault="00D85D5E" w:rsidP="00D85D5E">
      <w:pPr>
        <w:pStyle w:val="ab"/>
      </w:pPr>
      <w:r w:rsidRPr="00490BC9">
        <w:t xml:space="preserve">Table </w:t>
      </w:r>
      <w:r>
        <w:t>6</w:t>
      </w:r>
      <w:r w:rsidRPr="00490BC9">
        <w:t xml:space="preserve">: Long term correlation of </w:t>
      </w:r>
      <w:r>
        <w:t>active funds</w:t>
      </w:r>
      <w:r w:rsidRPr="00490BC9">
        <w:t xml:space="preserve"> and global equities</w:t>
      </w:r>
    </w:p>
    <w:tbl>
      <w:tblPr>
        <w:tblW w:w="3375" w:type="dxa"/>
        <w:jc w:val="center"/>
        <w:tblLook w:val="04A0" w:firstRow="1" w:lastRow="0" w:firstColumn="1" w:lastColumn="0" w:noHBand="0" w:noVBand="1"/>
      </w:tblPr>
      <w:tblGrid>
        <w:gridCol w:w="1745"/>
        <w:gridCol w:w="1630"/>
      </w:tblGrid>
      <w:tr w:rsidR="00D85D5E" w:rsidRPr="00B3329E" w:rsidTr="00AF16F2">
        <w:trPr>
          <w:trHeight w:val="300"/>
          <w:jc w:val="center"/>
        </w:trPr>
        <w:tc>
          <w:tcPr>
            <w:tcW w:w="1745" w:type="dxa"/>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Start date</w:t>
            </w:r>
          </w:p>
        </w:tc>
        <w:tc>
          <w:tcPr>
            <w:tcW w:w="1630" w:type="dxa"/>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01/07/2008</w:t>
            </w:r>
          </w:p>
        </w:tc>
      </w:tr>
      <w:tr w:rsidR="00D85D5E" w:rsidRPr="00B3329E" w:rsidTr="00AF16F2">
        <w:trPr>
          <w:trHeight w:val="288"/>
          <w:jc w:val="center"/>
        </w:trPr>
        <w:tc>
          <w:tcPr>
            <w:tcW w:w="1745"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End date</w:t>
            </w:r>
          </w:p>
        </w:tc>
        <w:tc>
          <w:tcPr>
            <w:tcW w:w="1630"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r>
      <w:tr w:rsidR="00D85D5E" w:rsidRPr="00B3329E" w:rsidTr="00AF16F2">
        <w:trPr>
          <w:trHeight w:val="288"/>
          <w:jc w:val="center"/>
        </w:trPr>
        <w:tc>
          <w:tcPr>
            <w:tcW w:w="174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Mean</w:t>
            </w:r>
          </w:p>
        </w:tc>
        <w:tc>
          <w:tcPr>
            <w:tcW w:w="163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0.65</w:t>
            </w:r>
          </w:p>
        </w:tc>
      </w:tr>
      <w:tr w:rsidR="00D85D5E" w:rsidRPr="00B3329E" w:rsidTr="00AF16F2">
        <w:trPr>
          <w:trHeight w:val="288"/>
          <w:jc w:val="center"/>
        </w:trPr>
        <w:tc>
          <w:tcPr>
            <w:tcW w:w="174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Standard Deviation</w:t>
            </w:r>
          </w:p>
        </w:tc>
        <w:tc>
          <w:tcPr>
            <w:tcW w:w="163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0.12</w:t>
            </w:r>
          </w:p>
        </w:tc>
      </w:tr>
      <w:tr w:rsidR="00D85D5E" w:rsidRPr="00B3329E" w:rsidTr="00AF16F2">
        <w:trPr>
          <w:trHeight w:val="288"/>
          <w:jc w:val="center"/>
        </w:trPr>
        <w:tc>
          <w:tcPr>
            <w:tcW w:w="174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Kurtosis</w:t>
            </w:r>
          </w:p>
        </w:tc>
        <w:tc>
          <w:tcPr>
            <w:tcW w:w="163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-0.83</w:t>
            </w:r>
          </w:p>
        </w:tc>
      </w:tr>
      <w:tr w:rsidR="00D85D5E" w:rsidRPr="00B3329E" w:rsidTr="00AF16F2">
        <w:trPr>
          <w:trHeight w:val="288"/>
          <w:jc w:val="center"/>
        </w:trPr>
        <w:tc>
          <w:tcPr>
            <w:tcW w:w="174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Skewness</w:t>
            </w:r>
          </w:p>
        </w:tc>
        <w:tc>
          <w:tcPr>
            <w:tcW w:w="163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0.19</w:t>
            </w:r>
          </w:p>
        </w:tc>
      </w:tr>
      <w:tr w:rsidR="00D85D5E" w:rsidRPr="00B3329E" w:rsidTr="00AF16F2">
        <w:trPr>
          <w:trHeight w:val="288"/>
          <w:jc w:val="center"/>
        </w:trPr>
        <w:tc>
          <w:tcPr>
            <w:tcW w:w="174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Minimum</w:t>
            </w:r>
          </w:p>
        </w:tc>
        <w:tc>
          <w:tcPr>
            <w:tcW w:w="163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0.40</w:t>
            </w:r>
          </w:p>
        </w:tc>
      </w:tr>
      <w:tr w:rsidR="00D85D5E" w:rsidRPr="00B3329E" w:rsidTr="00AF16F2">
        <w:trPr>
          <w:trHeight w:val="288"/>
          <w:jc w:val="center"/>
        </w:trPr>
        <w:tc>
          <w:tcPr>
            <w:tcW w:w="174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Maximum</w:t>
            </w:r>
          </w:p>
        </w:tc>
        <w:tc>
          <w:tcPr>
            <w:tcW w:w="163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0.85</w:t>
            </w:r>
          </w:p>
        </w:tc>
      </w:tr>
      <w:tr w:rsidR="00D85D5E" w:rsidRPr="00B3329E" w:rsidTr="00AF16F2">
        <w:trPr>
          <w:trHeight w:val="300"/>
          <w:jc w:val="center"/>
        </w:trPr>
        <w:tc>
          <w:tcPr>
            <w:tcW w:w="1745" w:type="dxa"/>
            <w:tcBorders>
              <w:top w:val="nil"/>
              <w:left w:val="nil"/>
              <w:bottom w:val="single" w:sz="8"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c>
          <w:tcPr>
            <w:tcW w:w="1630" w:type="dxa"/>
            <w:tcBorders>
              <w:top w:val="nil"/>
              <w:left w:val="nil"/>
              <w:bottom w:val="single" w:sz="8"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39</w:t>
            </w:r>
          </w:p>
        </w:tc>
      </w:tr>
    </w:tbl>
    <w:p w:rsidR="00D85D5E" w:rsidRDefault="00D85D5E" w:rsidP="00D85D5E">
      <w:pPr>
        <w:spacing w:after="0"/>
        <w:rPr>
          <w:rFonts w:ascii="Tahoma" w:hAnsi="Tahoma" w:cs="Tahoma"/>
          <w:color w:val="000000" w:themeColor="text1"/>
        </w:rPr>
      </w:pPr>
    </w:p>
    <w:p w:rsidR="00D85D5E" w:rsidRDefault="00D85D5E" w:rsidP="00D85D5E">
      <w:pPr>
        <w:spacing w:after="0"/>
        <w:rPr>
          <w:rFonts w:ascii="Tahoma" w:hAnsi="Tahoma" w:cs="Tahoma"/>
          <w:color w:val="000000" w:themeColor="text1"/>
        </w:rPr>
      </w:pPr>
    </w:p>
    <w:p w:rsidR="00D85D5E" w:rsidRDefault="00D85D5E" w:rsidP="00D85D5E">
      <w:pPr>
        <w:spacing w:after="0"/>
        <w:rPr>
          <w:rFonts w:ascii="Tahoma" w:hAnsi="Tahoma" w:cs="Tahoma"/>
          <w:color w:val="000000" w:themeColor="text1"/>
        </w:rPr>
      </w:pPr>
    </w:p>
    <w:p w:rsidR="00D85D5E" w:rsidRDefault="00D85D5E" w:rsidP="00D85D5E">
      <w:pPr>
        <w:spacing w:after="0"/>
        <w:rPr>
          <w:rFonts w:ascii="Tahoma" w:hAnsi="Tahoma" w:cs="Tahoma"/>
          <w:color w:val="000000" w:themeColor="text1"/>
        </w:rPr>
      </w:pPr>
    </w:p>
    <w:p w:rsidR="00D85D5E" w:rsidRDefault="00D85D5E" w:rsidP="00D85D5E">
      <w:pPr>
        <w:spacing w:after="0"/>
        <w:rPr>
          <w:rFonts w:ascii="Tahoma" w:hAnsi="Tahoma" w:cs="Tahoma"/>
          <w:color w:val="000000" w:themeColor="text1"/>
        </w:rPr>
      </w:pPr>
    </w:p>
    <w:p w:rsidR="00D85D5E" w:rsidRDefault="00D85D5E" w:rsidP="00D85D5E">
      <w:pPr>
        <w:spacing w:after="0"/>
        <w:rPr>
          <w:rFonts w:ascii="Tahoma" w:hAnsi="Tahoma" w:cs="Tahoma"/>
          <w:color w:val="000000" w:themeColor="text1"/>
        </w:rPr>
      </w:pPr>
    </w:p>
    <w:p w:rsidR="00D85D5E" w:rsidRDefault="00D85D5E" w:rsidP="00D85D5E">
      <w:pPr>
        <w:spacing w:after="0"/>
        <w:rPr>
          <w:rFonts w:ascii="Tahoma" w:hAnsi="Tahoma" w:cs="Tahoma"/>
          <w:color w:val="000000" w:themeColor="text1"/>
        </w:rPr>
      </w:pPr>
    </w:p>
    <w:p w:rsidR="00D85D5E" w:rsidRDefault="00D85D5E" w:rsidP="00D85D5E">
      <w:pPr>
        <w:spacing w:after="0"/>
        <w:rPr>
          <w:rFonts w:ascii="Tahoma" w:hAnsi="Tahoma" w:cs="Tahoma"/>
          <w:color w:val="000000" w:themeColor="text1"/>
        </w:rPr>
      </w:pPr>
    </w:p>
    <w:p w:rsidR="00D85D5E" w:rsidRDefault="00D85D5E" w:rsidP="00D85D5E">
      <w:pPr>
        <w:spacing w:after="0"/>
        <w:rPr>
          <w:rFonts w:ascii="Tahoma" w:hAnsi="Tahoma" w:cs="Tahoma"/>
          <w:color w:val="000000" w:themeColor="text1"/>
        </w:rPr>
      </w:pPr>
    </w:p>
    <w:p w:rsidR="00D85D5E" w:rsidRDefault="00D85D5E" w:rsidP="00D85D5E">
      <w:pPr>
        <w:spacing w:after="0"/>
        <w:rPr>
          <w:rFonts w:ascii="Tahoma" w:hAnsi="Tahoma" w:cs="Tahoma"/>
          <w:color w:val="000000" w:themeColor="text1"/>
        </w:rPr>
      </w:pPr>
    </w:p>
    <w:p w:rsidR="00D85D5E" w:rsidRPr="00B3329E" w:rsidRDefault="00D85D5E" w:rsidP="00D85D5E">
      <w:pPr>
        <w:spacing w:after="0"/>
        <w:rPr>
          <w:rFonts w:ascii="Tahoma" w:hAnsi="Tahoma" w:cs="Tahoma"/>
          <w:color w:val="000000" w:themeColor="text1"/>
        </w:rPr>
      </w:pPr>
    </w:p>
    <w:p w:rsidR="00D85D5E" w:rsidRPr="00BE6E5D" w:rsidRDefault="00D85D5E" w:rsidP="00D85D5E">
      <w:pPr>
        <w:rPr>
          <w:rFonts w:ascii="Tahoma" w:hAnsi="Tahoma"/>
          <w:bCs/>
          <w:sz w:val="18"/>
        </w:rPr>
      </w:pPr>
      <w:r w:rsidRPr="00490BC9">
        <w:lastRenderedPageBreak/>
        <w:t xml:space="preserve">Table </w:t>
      </w:r>
      <w:r>
        <w:t>7</w:t>
      </w:r>
      <w:r w:rsidRPr="00490BC9">
        <w:t xml:space="preserve">: Long term correlation of infrastructure </w:t>
      </w:r>
      <w:r>
        <w:t>indices (all)</w:t>
      </w:r>
      <w:r w:rsidRPr="00490BC9">
        <w:t xml:space="preserve"> and global equities</w:t>
      </w:r>
    </w:p>
    <w:tbl>
      <w:tblPr>
        <w:tblW w:w="6460" w:type="dxa"/>
        <w:jc w:val="center"/>
        <w:tblLook w:val="04A0" w:firstRow="1" w:lastRow="0" w:firstColumn="1" w:lastColumn="0" w:noHBand="0" w:noVBand="1"/>
      </w:tblPr>
      <w:tblGrid>
        <w:gridCol w:w="1780"/>
        <w:gridCol w:w="1560"/>
        <w:gridCol w:w="1560"/>
        <w:gridCol w:w="1560"/>
      </w:tblGrid>
      <w:tr w:rsidR="00D85D5E" w:rsidRPr="00B3329E" w:rsidTr="00AF16F2">
        <w:trPr>
          <w:trHeight w:val="288"/>
          <w:jc w:val="center"/>
        </w:trPr>
        <w:tc>
          <w:tcPr>
            <w:tcW w:w="1780" w:type="dxa"/>
            <w:tcBorders>
              <w:top w:val="single" w:sz="8" w:space="0" w:color="auto"/>
              <w:left w:val="nil"/>
              <w:bottom w:val="nil"/>
              <w:right w:val="nil"/>
            </w:tcBorders>
            <w:shd w:val="clear" w:color="auto" w:fill="auto"/>
            <w:noWrap/>
            <w:vAlign w:val="center"/>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Start Date</w:t>
            </w:r>
          </w:p>
        </w:tc>
        <w:tc>
          <w:tcPr>
            <w:tcW w:w="1560" w:type="dxa"/>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01/07/2008</w:t>
            </w:r>
          </w:p>
        </w:tc>
        <w:tc>
          <w:tcPr>
            <w:tcW w:w="1560" w:type="dxa"/>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01/07/2003</w:t>
            </w:r>
          </w:p>
        </w:tc>
        <w:tc>
          <w:tcPr>
            <w:tcW w:w="1560" w:type="dxa"/>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01/07/1998</w:t>
            </w:r>
          </w:p>
        </w:tc>
      </w:tr>
      <w:tr w:rsidR="00D85D5E" w:rsidRPr="00B3329E" w:rsidTr="00AF16F2">
        <w:trPr>
          <w:trHeight w:val="300"/>
          <w:jc w:val="center"/>
        </w:trPr>
        <w:tc>
          <w:tcPr>
            <w:tcW w:w="1780" w:type="dxa"/>
            <w:tcBorders>
              <w:top w:val="nil"/>
              <w:left w:val="nil"/>
              <w:bottom w:val="single" w:sz="8" w:space="0" w:color="auto"/>
              <w:right w:val="nil"/>
            </w:tcBorders>
            <w:shd w:val="clear" w:color="auto" w:fill="auto"/>
            <w:noWrap/>
            <w:vAlign w:val="center"/>
            <w:hideMark/>
          </w:tcPr>
          <w:p w:rsidR="00D85D5E" w:rsidRPr="00B3329E" w:rsidRDefault="00D85D5E" w:rsidP="00AF16F2">
            <w:pPr>
              <w:spacing w:after="0"/>
              <w:rPr>
                <w:rFonts w:ascii="Tahoma" w:eastAsia="Times New Roman" w:hAnsi="Tahoma" w:cs="Tahoma"/>
                <w:iCs/>
                <w:color w:val="000000" w:themeColor="text1"/>
                <w:sz w:val="18"/>
                <w:szCs w:val="18"/>
                <w:lang w:eastAsia="en-GB"/>
              </w:rPr>
            </w:pPr>
            <w:r w:rsidRPr="00B3329E">
              <w:rPr>
                <w:rFonts w:ascii="Tahoma" w:eastAsia="Times New Roman" w:hAnsi="Tahoma" w:cs="Tahoma"/>
                <w:iCs/>
                <w:color w:val="000000" w:themeColor="text1"/>
                <w:sz w:val="18"/>
                <w:szCs w:val="18"/>
                <w:lang w:eastAsia="en-GB"/>
              </w:rPr>
              <w:t> End Date</w:t>
            </w:r>
          </w:p>
        </w:tc>
        <w:tc>
          <w:tcPr>
            <w:tcW w:w="1560"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c>
          <w:tcPr>
            <w:tcW w:w="1560"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c>
          <w:tcPr>
            <w:tcW w:w="1560"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r>
      <w:tr w:rsidR="00D85D5E" w:rsidRPr="00B3329E" w:rsidTr="00AF16F2">
        <w:trPr>
          <w:trHeight w:val="288"/>
          <w:jc w:val="center"/>
        </w:trPr>
        <w:tc>
          <w:tcPr>
            <w:tcW w:w="178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p>
        </w:tc>
      </w:tr>
      <w:tr w:rsidR="00D85D5E" w:rsidRPr="00B3329E" w:rsidTr="00AF16F2">
        <w:trPr>
          <w:trHeight w:val="288"/>
          <w:jc w:val="center"/>
        </w:trPr>
        <w:tc>
          <w:tcPr>
            <w:tcW w:w="178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Mean</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0.71</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0.64</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0.47</w:t>
            </w:r>
          </w:p>
        </w:tc>
      </w:tr>
      <w:tr w:rsidR="00D85D5E" w:rsidRPr="00B3329E" w:rsidTr="00AF16F2">
        <w:trPr>
          <w:trHeight w:val="288"/>
          <w:jc w:val="center"/>
        </w:trPr>
        <w:tc>
          <w:tcPr>
            <w:tcW w:w="178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Standard Deviation</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0.18</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0.18</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0.07</w:t>
            </w:r>
          </w:p>
        </w:tc>
      </w:tr>
      <w:tr w:rsidR="00D85D5E" w:rsidRPr="00B3329E" w:rsidTr="00AF16F2">
        <w:trPr>
          <w:trHeight w:val="288"/>
          <w:jc w:val="center"/>
        </w:trPr>
        <w:tc>
          <w:tcPr>
            <w:tcW w:w="178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Kurtosis</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2.74</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0.42</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2.36</w:t>
            </w:r>
          </w:p>
        </w:tc>
      </w:tr>
      <w:tr w:rsidR="00D85D5E" w:rsidRPr="00B3329E" w:rsidTr="00AF16F2">
        <w:trPr>
          <w:trHeight w:val="288"/>
          <w:jc w:val="center"/>
        </w:trPr>
        <w:tc>
          <w:tcPr>
            <w:tcW w:w="178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Skewness</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-1.72</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-1.14</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1.16</w:t>
            </w:r>
          </w:p>
        </w:tc>
      </w:tr>
      <w:tr w:rsidR="00D85D5E" w:rsidRPr="00B3329E" w:rsidTr="00AF16F2">
        <w:trPr>
          <w:trHeight w:val="288"/>
          <w:jc w:val="center"/>
        </w:trPr>
        <w:tc>
          <w:tcPr>
            <w:tcW w:w="178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Minimum</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0.21</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0.24</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r>
      <w:tr w:rsidR="00D85D5E" w:rsidRPr="00B3329E" w:rsidTr="00AF16F2">
        <w:trPr>
          <w:trHeight w:val="288"/>
          <w:jc w:val="center"/>
        </w:trPr>
        <w:tc>
          <w:tcPr>
            <w:tcW w:w="178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Maximum</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0.89</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0.83</w:t>
            </w:r>
          </w:p>
        </w:tc>
        <w:tc>
          <w:tcPr>
            <w:tcW w:w="1560"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0.59</w:t>
            </w:r>
          </w:p>
        </w:tc>
      </w:tr>
      <w:tr w:rsidR="00D85D5E" w:rsidRPr="00B3329E" w:rsidTr="00AF16F2">
        <w:trPr>
          <w:trHeight w:val="300"/>
          <w:jc w:val="center"/>
        </w:trPr>
        <w:tc>
          <w:tcPr>
            <w:tcW w:w="1780" w:type="dxa"/>
            <w:tcBorders>
              <w:top w:val="nil"/>
              <w:left w:val="nil"/>
              <w:bottom w:val="single" w:sz="8"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c>
          <w:tcPr>
            <w:tcW w:w="1560" w:type="dxa"/>
            <w:tcBorders>
              <w:top w:val="nil"/>
              <w:left w:val="nil"/>
              <w:bottom w:val="single" w:sz="8"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28</w:t>
            </w:r>
          </w:p>
        </w:tc>
        <w:tc>
          <w:tcPr>
            <w:tcW w:w="1560" w:type="dxa"/>
            <w:tcBorders>
              <w:top w:val="nil"/>
              <w:left w:val="nil"/>
              <w:bottom w:val="single" w:sz="8"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20</w:t>
            </w:r>
          </w:p>
        </w:tc>
        <w:tc>
          <w:tcPr>
            <w:tcW w:w="1560" w:type="dxa"/>
            <w:tcBorders>
              <w:top w:val="nil"/>
              <w:left w:val="nil"/>
              <w:bottom w:val="single" w:sz="8"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5</w:t>
            </w:r>
          </w:p>
        </w:tc>
      </w:tr>
    </w:tbl>
    <w:p w:rsidR="00D85D5E" w:rsidRPr="00B3329E" w:rsidRDefault="00D85D5E" w:rsidP="00D85D5E">
      <w:pPr>
        <w:spacing w:after="0"/>
        <w:rPr>
          <w:rFonts w:ascii="Tahoma" w:hAnsi="Tahoma" w:cs="Tahoma"/>
          <w:color w:val="000000" w:themeColor="text1"/>
          <w:sz w:val="18"/>
          <w:szCs w:val="18"/>
        </w:rPr>
      </w:pPr>
    </w:p>
    <w:p w:rsidR="00D85D5E" w:rsidRPr="00B3329E" w:rsidRDefault="00D85D5E" w:rsidP="00D85D5E">
      <w:pPr>
        <w:spacing w:after="0"/>
        <w:rPr>
          <w:rFonts w:ascii="Tahoma" w:hAnsi="Tahoma" w:cs="Tahoma"/>
          <w:color w:val="000000" w:themeColor="text1"/>
          <w:sz w:val="18"/>
          <w:szCs w:val="18"/>
        </w:rPr>
      </w:pPr>
    </w:p>
    <w:p w:rsidR="00D85D5E" w:rsidRDefault="00D85D5E" w:rsidP="00D85D5E">
      <w:pPr>
        <w:spacing w:after="0"/>
        <w:rPr>
          <w:rFonts w:ascii="Tahoma" w:hAnsi="Tahoma" w:cs="Tahoma"/>
          <w:color w:val="000000" w:themeColor="text1"/>
          <w:sz w:val="18"/>
          <w:szCs w:val="18"/>
        </w:rPr>
      </w:pPr>
    </w:p>
    <w:p w:rsidR="00D85D5E" w:rsidRPr="00AB0BAE" w:rsidRDefault="00D85D5E" w:rsidP="00D85D5E">
      <w:pPr>
        <w:pStyle w:val="ab"/>
      </w:pPr>
      <w:r w:rsidRPr="00490BC9">
        <w:t xml:space="preserve">Table </w:t>
      </w:r>
      <w:r>
        <w:t>8</w:t>
      </w:r>
      <w:r w:rsidRPr="00490BC9">
        <w:t xml:space="preserve">: Long term correlation of infrastructure </w:t>
      </w:r>
      <w:r>
        <w:t>indices (global)</w:t>
      </w:r>
      <w:r w:rsidRPr="00490BC9">
        <w:t xml:space="preserve"> and global equities</w:t>
      </w:r>
    </w:p>
    <w:tbl>
      <w:tblPr>
        <w:tblW w:w="4826" w:type="dxa"/>
        <w:jc w:val="center"/>
        <w:tblLook w:val="04A0" w:firstRow="1" w:lastRow="0" w:firstColumn="1" w:lastColumn="0" w:noHBand="0" w:noVBand="1"/>
      </w:tblPr>
      <w:tblGrid>
        <w:gridCol w:w="1985"/>
        <w:gridCol w:w="1701"/>
        <w:gridCol w:w="1140"/>
      </w:tblGrid>
      <w:tr w:rsidR="00D85D5E" w:rsidRPr="00B3329E" w:rsidTr="00AF16F2">
        <w:trPr>
          <w:trHeight w:val="288"/>
          <w:jc w:val="center"/>
        </w:trPr>
        <w:tc>
          <w:tcPr>
            <w:tcW w:w="1985" w:type="dxa"/>
            <w:tcBorders>
              <w:top w:val="single" w:sz="4" w:space="0" w:color="auto"/>
              <w:left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Start Date</w:t>
            </w:r>
          </w:p>
        </w:tc>
        <w:tc>
          <w:tcPr>
            <w:tcW w:w="1701" w:type="dxa"/>
            <w:tcBorders>
              <w:top w:val="single" w:sz="4" w:space="0" w:color="auto"/>
              <w:left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01/07/2008</w:t>
            </w:r>
          </w:p>
        </w:tc>
        <w:tc>
          <w:tcPr>
            <w:tcW w:w="1140" w:type="dxa"/>
            <w:tcBorders>
              <w:top w:val="single" w:sz="4" w:space="0" w:color="auto"/>
              <w:left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01/07/2003</w:t>
            </w:r>
          </w:p>
        </w:tc>
      </w:tr>
      <w:tr w:rsidR="00D85D5E" w:rsidRPr="00B3329E" w:rsidTr="00AF16F2">
        <w:trPr>
          <w:trHeight w:val="300"/>
          <w:jc w:val="center"/>
        </w:trPr>
        <w:tc>
          <w:tcPr>
            <w:tcW w:w="1985"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End Date</w:t>
            </w:r>
          </w:p>
        </w:tc>
        <w:tc>
          <w:tcPr>
            <w:tcW w:w="1701"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c>
          <w:tcPr>
            <w:tcW w:w="1140" w:type="dxa"/>
            <w:tcBorders>
              <w:top w:val="nil"/>
              <w:left w:val="nil"/>
              <w:bottom w:val="single" w:sz="4"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30/06/2018</w:t>
            </w:r>
          </w:p>
        </w:tc>
      </w:tr>
      <w:tr w:rsidR="00D85D5E" w:rsidRPr="00B3329E" w:rsidTr="00AF16F2">
        <w:trPr>
          <w:trHeight w:val="288"/>
          <w:jc w:val="center"/>
        </w:trPr>
        <w:tc>
          <w:tcPr>
            <w:tcW w:w="1985" w:type="dxa"/>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i/>
                <w:iCs/>
                <w:color w:val="000000" w:themeColor="text1"/>
                <w:sz w:val="18"/>
                <w:szCs w:val="18"/>
                <w:lang w:eastAsia="en-GB"/>
              </w:rPr>
            </w:pPr>
          </w:p>
        </w:tc>
        <w:tc>
          <w:tcPr>
            <w:tcW w:w="1701" w:type="dxa"/>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p>
        </w:tc>
        <w:tc>
          <w:tcPr>
            <w:tcW w:w="1140" w:type="dxa"/>
            <w:tcBorders>
              <w:top w:val="single" w:sz="4" w:space="0" w:color="auto"/>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p>
        </w:tc>
      </w:tr>
      <w:tr w:rsidR="00D85D5E" w:rsidRPr="00B3329E" w:rsidTr="00AF16F2">
        <w:trPr>
          <w:trHeight w:val="288"/>
          <w:jc w:val="center"/>
        </w:trPr>
        <w:tc>
          <w:tcPr>
            <w:tcW w:w="198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Mean</w:t>
            </w:r>
          </w:p>
        </w:tc>
        <w:tc>
          <w:tcPr>
            <w:tcW w:w="1701"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0.82</w:t>
            </w:r>
          </w:p>
        </w:tc>
        <w:tc>
          <w:tcPr>
            <w:tcW w:w="114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0.77</w:t>
            </w:r>
          </w:p>
        </w:tc>
      </w:tr>
      <w:tr w:rsidR="00D85D5E" w:rsidRPr="00B3329E" w:rsidTr="00AF16F2">
        <w:trPr>
          <w:trHeight w:val="288"/>
          <w:jc w:val="center"/>
        </w:trPr>
        <w:tc>
          <w:tcPr>
            <w:tcW w:w="198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Standard Deviation</w:t>
            </w:r>
          </w:p>
        </w:tc>
        <w:tc>
          <w:tcPr>
            <w:tcW w:w="1701"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0.04</w:t>
            </w:r>
          </w:p>
        </w:tc>
        <w:tc>
          <w:tcPr>
            <w:tcW w:w="114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0.03</w:t>
            </w:r>
          </w:p>
        </w:tc>
      </w:tr>
      <w:tr w:rsidR="00D85D5E" w:rsidRPr="00B3329E" w:rsidTr="00AF16F2">
        <w:trPr>
          <w:trHeight w:val="288"/>
          <w:jc w:val="center"/>
        </w:trPr>
        <w:tc>
          <w:tcPr>
            <w:tcW w:w="198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Kurtosis</w:t>
            </w:r>
          </w:p>
        </w:tc>
        <w:tc>
          <w:tcPr>
            <w:tcW w:w="1701"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-0.92</w:t>
            </w:r>
          </w:p>
        </w:tc>
        <w:tc>
          <w:tcPr>
            <w:tcW w:w="114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0.74</w:t>
            </w:r>
          </w:p>
        </w:tc>
      </w:tr>
      <w:tr w:rsidR="00D85D5E" w:rsidRPr="00B3329E" w:rsidTr="00AF16F2">
        <w:trPr>
          <w:trHeight w:val="288"/>
          <w:jc w:val="center"/>
        </w:trPr>
        <w:tc>
          <w:tcPr>
            <w:tcW w:w="198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Skewness</w:t>
            </w:r>
          </w:p>
        </w:tc>
        <w:tc>
          <w:tcPr>
            <w:tcW w:w="1701"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0.54</w:t>
            </w:r>
          </w:p>
        </w:tc>
        <w:tc>
          <w:tcPr>
            <w:tcW w:w="114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-0.18</w:t>
            </w:r>
          </w:p>
        </w:tc>
      </w:tr>
      <w:tr w:rsidR="00D85D5E" w:rsidRPr="00B3329E" w:rsidTr="00AF16F2">
        <w:trPr>
          <w:trHeight w:val="288"/>
          <w:jc w:val="center"/>
        </w:trPr>
        <w:tc>
          <w:tcPr>
            <w:tcW w:w="198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Minimum</w:t>
            </w:r>
          </w:p>
        </w:tc>
        <w:tc>
          <w:tcPr>
            <w:tcW w:w="1701"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0.76</w:t>
            </w:r>
          </w:p>
        </w:tc>
        <w:tc>
          <w:tcPr>
            <w:tcW w:w="114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0.72</w:t>
            </w:r>
          </w:p>
        </w:tc>
      </w:tr>
      <w:tr w:rsidR="00D85D5E" w:rsidRPr="00B3329E" w:rsidTr="00AF16F2">
        <w:trPr>
          <w:trHeight w:val="288"/>
          <w:jc w:val="center"/>
        </w:trPr>
        <w:tc>
          <w:tcPr>
            <w:tcW w:w="1985" w:type="dxa"/>
            <w:tcBorders>
              <w:top w:val="nil"/>
              <w:left w:val="nil"/>
              <w:bottom w:val="nil"/>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Maximum</w:t>
            </w:r>
          </w:p>
        </w:tc>
        <w:tc>
          <w:tcPr>
            <w:tcW w:w="1701"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0.89</w:t>
            </w:r>
          </w:p>
        </w:tc>
        <w:tc>
          <w:tcPr>
            <w:tcW w:w="1140" w:type="dxa"/>
            <w:tcBorders>
              <w:top w:val="nil"/>
              <w:left w:val="nil"/>
              <w:bottom w:val="nil"/>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0.81</w:t>
            </w:r>
          </w:p>
        </w:tc>
      </w:tr>
      <w:tr w:rsidR="00D85D5E" w:rsidRPr="00B3329E" w:rsidTr="00AF16F2">
        <w:trPr>
          <w:trHeight w:val="68"/>
          <w:jc w:val="center"/>
        </w:trPr>
        <w:tc>
          <w:tcPr>
            <w:tcW w:w="1985" w:type="dxa"/>
            <w:tcBorders>
              <w:top w:val="nil"/>
              <w:left w:val="nil"/>
              <w:bottom w:val="single" w:sz="8" w:space="0" w:color="auto"/>
              <w:right w:val="nil"/>
            </w:tcBorders>
            <w:shd w:val="clear" w:color="auto" w:fill="auto"/>
            <w:noWrap/>
            <w:vAlign w:val="bottom"/>
            <w:hideMark/>
          </w:tcPr>
          <w:p w:rsidR="00D85D5E" w:rsidRPr="00B3329E" w:rsidRDefault="00D85D5E" w:rsidP="00AF16F2">
            <w:pPr>
              <w:spacing w:after="0"/>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c>
          <w:tcPr>
            <w:tcW w:w="1701" w:type="dxa"/>
            <w:tcBorders>
              <w:top w:val="nil"/>
              <w:left w:val="nil"/>
              <w:bottom w:val="single" w:sz="8"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11</w:t>
            </w:r>
          </w:p>
        </w:tc>
        <w:tc>
          <w:tcPr>
            <w:tcW w:w="1140" w:type="dxa"/>
            <w:tcBorders>
              <w:top w:val="nil"/>
              <w:left w:val="nil"/>
              <w:bottom w:val="single" w:sz="8" w:space="0" w:color="auto"/>
              <w:right w:val="nil"/>
            </w:tcBorders>
            <w:shd w:val="clear" w:color="auto" w:fill="auto"/>
            <w:noWrap/>
            <w:vAlign w:val="bottom"/>
            <w:hideMark/>
          </w:tcPr>
          <w:p w:rsidR="00D85D5E" w:rsidRPr="00B3329E" w:rsidRDefault="00D85D5E" w:rsidP="00AF16F2">
            <w:pPr>
              <w:spacing w:after="0"/>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w:t>
            </w:r>
          </w:p>
        </w:tc>
      </w:tr>
    </w:tbl>
    <w:p w:rsidR="00D85D5E" w:rsidRPr="00B3329E" w:rsidRDefault="00D85D5E" w:rsidP="00D85D5E">
      <w:pPr>
        <w:spacing w:after="0"/>
        <w:jc w:val="center"/>
        <w:rPr>
          <w:rFonts w:ascii="Tahoma" w:hAnsi="Tahoma" w:cs="Tahoma"/>
          <w:color w:val="000000" w:themeColor="text1"/>
        </w:rPr>
      </w:pPr>
    </w:p>
    <w:p w:rsidR="00247CC5" w:rsidRPr="00AB0BAE" w:rsidRDefault="00247CC5" w:rsidP="00247CC5">
      <w:pPr>
        <w:pStyle w:val="ab"/>
      </w:pPr>
      <w:r w:rsidRPr="00490BC9">
        <w:t xml:space="preserve">Table </w:t>
      </w:r>
      <w:r>
        <w:t>9</w:t>
      </w:r>
      <w:r w:rsidRPr="00490BC9">
        <w:t xml:space="preserve">: </w:t>
      </w:r>
      <w:r>
        <w:t>Rolling</w:t>
      </w:r>
      <w:r w:rsidRPr="00490BC9">
        <w:t xml:space="preserve"> correlation of infrastructure</w:t>
      </w:r>
      <w:r>
        <w:t xml:space="preserve"> stocks</w:t>
      </w:r>
      <w:r w:rsidRPr="00490BC9">
        <w:t xml:space="preserve"> and global equities</w:t>
      </w:r>
    </w:p>
    <w:tbl>
      <w:tblPr>
        <w:tblW w:w="3840" w:type="dxa"/>
        <w:jc w:val="center"/>
        <w:tblLook w:val="04A0" w:firstRow="1" w:lastRow="0" w:firstColumn="1" w:lastColumn="0" w:noHBand="0" w:noVBand="1"/>
      </w:tblPr>
      <w:tblGrid>
        <w:gridCol w:w="1140"/>
        <w:gridCol w:w="1140"/>
        <w:gridCol w:w="1082"/>
        <w:gridCol w:w="960"/>
      </w:tblGrid>
      <w:tr w:rsidR="00247CC5" w:rsidRPr="00B3329E" w:rsidTr="00AF16F2">
        <w:trPr>
          <w:trHeight w:val="300"/>
          <w:jc w:val="center"/>
        </w:trPr>
        <w:tc>
          <w:tcPr>
            <w:tcW w:w="960" w:type="dxa"/>
            <w:tcBorders>
              <w:top w:val="single" w:sz="4" w:space="0" w:color="auto"/>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Start date</w:t>
            </w:r>
          </w:p>
        </w:tc>
        <w:tc>
          <w:tcPr>
            <w:tcW w:w="960" w:type="dxa"/>
            <w:tcBorders>
              <w:top w:val="single" w:sz="4" w:space="0" w:color="auto"/>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End date</w:t>
            </w:r>
          </w:p>
        </w:tc>
        <w:tc>
          <w:tcPr>
            <w:tcW w:w="960" w:type="dxa"/>
            <w:tcBorders>
              <w:top w:val="single" w:sz="4" w:space="0" w:color="auto"/>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Correlation</w:t>
            </w:r>
          </w:p>
        </w:tc>
        <w:tc>
          <w:tcPr>
            <w:tcW w:w="960" w:type="dxa"/>
            <w:tcBorders>
              <w:top w:val="single" w:sz="4" w:space="0" w:color="auto"/>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01/07/1998</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30/06/2003</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0.23</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177</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01/07/1999</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30/06/2004</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0.24</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196</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01/07/2000</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30/06/2005</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0.28</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338</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01/07/2001</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30/06/2006</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0.32</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387</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01/07/2002</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30/06/2007</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0.31</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407</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01/07/2003</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30/06/2008</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0.35</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429</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01/07/2004</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30/06/2009</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0.43</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448</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01/07/2005</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30/06/2010</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0.45</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471</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01/07/2006</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30/06/2011</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0.45</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510</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01/07/2007</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30/06/2012</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0.47</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535</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01/07/2008</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30/06/2013</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0.45</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564</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01/07/2009</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30/06/2014</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571</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01/07/2010</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30/06/2015</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0.33</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595</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01/07/2011</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30/06/2016</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0.35</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621</w:t>
            </w:r>
          </w:p>
        </w:tc>
      </w:tr>
      <w:tr w:rsidR="00247CC5" w:rsidRPr="00B3329E" w:rsidTr="00AF16F2">
        <w:trPr>
          <w:trHeight w:val="288"/>
          <w:jc w:val="center"/>
        </w:trPr>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01/07/2012</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30/06/2017</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0.29</w:t>
            </w:r>
          </w:p>
        </w:tc>
        <w:tc>
          <w:tcPr>
            <w:tcW w:w="9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638</w:t>
            </w:r>
          </w:p>
        </w:tc>
      </w:tr>
      <w:tr w:rsidR="00247CC5" w:rsidRPr="00B3329E" w:rsidTr="00AF16F2">
        <w:trPr>
          <w:trHeight w:val="300"/>
          <w:jc w:val="center"/>
        </w:trPr>
        <w:tc>
          <w:tcPr>
            <w:tcW w:w="960" w:type="dxa"/>
            <w:tcBorders>
              <w:top w:val="nil"/>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01/07/2013</w:t>
            </w:r>
          </w:p>
        </w:tc>
        <w:tc>
          <w:tcPr>
            <w:tcW w:w="960" w:type="dxa"/>
            <w:tcBorders>
              <w:top w:val="nil"/>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30/06/2018</w:t>
            </w:r>
          </w:p>
        </w:tc>
        <w:tc>
          <w:tcPr>
            <w:tcW w:w="960" w:type="dxa"/>
            <w:tcBorders>
              <w:top w:val="nil"/>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0.27</w:t>
            </w:r>
          </w:p>
        </w:tc>
        <w:tc>
          <w:tcPr>
            <w:tcW w:w="960" w:type="dxa"/>
            <w:tcBorders>
              <w:top w:val="nil"/>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681</w:t>
            </w:r>
          </w:p>
        </w:tc>
      </w:tr>
    </w:tbl>
    <w:p w:rsidR="00247CC5" w:rsidRDefault="00247CC5" w:rsidP="00247CC5">
      <w:pPr>
        <w:spacing w:after="0"/>
        <w:rPr>
          <w:rFonts w:ascii="Tahoma" w:hAnsi="Tahoma" w:cs="Tahoma"/>
          <w:color w:val="000000" w:themeColor="text1"/>
        </w:rPr>
      </w:pPr>
    </w:p>
    <w:p w:rsidR="00D85D5E" w:rsidRDefault="00D85D5E">
      <w:pPr>
        <w:rPr>
          <w:rFonts w:ascii="Tahoma" w:eastAsiaTheme="majorEastAsia" w:hAnsi="Tahoma" w:cs="Tahoma"/>
          <w:b/>
          <w:color w:val="000000" w:themeColor="text1"/>
          <w:sz w:val="28"/>
          <w:szCs w:val="36"/>
        </w:rPr>
      </w:pPr>
    </w:p>
    <w:p w:rsidR="00247CC5" w:rsidRPr="00AB0BAE" w:rsidRDefault="003363A1" w:rsidP="00247CC5">
      <w:pPr>
        <w:pStyle w:val="ab"/>
      </w:pPr>
      <w:r w:rsidRPr="00B3329E">
        <w:rPr>
          <w:rFonts w:cs="Tahoma"/>
          <w:color w:val="000000" w:themeColor="text1"/>
        </w:rPr>
        <w:lastRenderedPageBreak/>
        <w:t xml:space="preserve"> </w:t>
      </w:r>
      <w:r w:rsidR="00247CC5" w:rsidRPr="00490BC9">
        <w:t xml:space="preserve">Table </w:t>
      </w:r>
      <w:r w:rsidR="00247CC5">
        <w:t>10</w:t>
      </w:r>
      <w:r w:rsidR="00247CC5" w:rsidRPr="00490BC9">
        <w:t xml:space="preserve">: </w:t>
      </w:r>
      <w:r w:rsidR="00247CC5">
        <w:t>Rolling</w:t>
      </w:r>
      <w:r w:rsidR="00247CC5" w:rsidRPr="00490BC9">
        <w:t xml:space="preserve"> correlation of infrastructure</w:t>
      </w:r>
      <w:r w:rsidR="00247CC5">
        <w:t xml:space="preserve"> stock sectors</w:t>
      </w:r>
      <w:r w:rsidR="00247CC5" w:rsidRPr="00490BC9">
        <w:t xml:space="preserve"> and global equities</w:t>
      </w:r>
    </w:p>
    <w:tbl>
      <w:tblPr>
        <w:tblW w:w="9385" w:type="dxa"/>
        <w:tblLook w:val="04A0" w:firstRow="1" w:lastRow="0" w:firstColumn="1" w:lastColumn="0" w:noHBand="0" w:noVBand="1"/>
      </w:tblPr>
      <w:tblGrid>
        <w:gridCol w:w="1278"/>
        <w:gridCol w:w="1278"/>
        <w:gridCol w:w="705"/>
        <w:gridCol w:w="709"/>
        <w:gridCol w:w="707"/>
        <w:gridCol w:w="607"/>
        <w:gridCol w:w="659"/>
        <w:gridCol w:w="864"/>
        <w:gridCol w:w="607"/>
        <w:gridCol w:w="667"/>
        <w:gridCol w:w="697"/>
        <w:gridCol w:w="607"/>
      </w:tblGrid>
      <w:tr w:rsidR="00247CC5" w:rsidRPr="00B3329E" w:rsidTr="00AF16F2">
        <w:trPr>
          <w:trHeight w:val="288"/>
        </w:trPr>
        <w:tc>
          <w:tcPr>
            <w:tcW w:w="1278"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Start date</w:t>
            </w:r>
          </w:p>
        </w:tc>
        <w:tc>
          <w:tcPr>
            <w:tcW w:w="1278"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End date</w:t>
            </w:r>
          </w:p>
        </w:tc>
        <w:tc>
          <w:tcPr>
            <w:tcW w:w="705"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Bas. Mat.</w:t>
            </w:r>
          </w:p>
        </w:tc>
        <w:tc>
          <w:tcPr>
            <w:tcW w:w="709"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Com. Serv.</w:t>
            </w:r>
          </w:p>
        </w:tc>
        <w:tc>
          <w:tcPr>
            <w:tcW w:w="707"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Cons. Cyc.</w:t>
            </w:r>
          </w:p>
        </w:tc>
        <w:tc>
          <w:tcPr>
            <w:tcW w:w="607"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En.</w:t>
            </w:r>
          </w:p>
        </w:tc>
        <w:tc>
          <w:tcPr>
            <w:tcW w:w="659"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Fin Serv.</w:t>
            </w:r>
          </w:p>
        </w:tc>
        <w:tc>
          <w:tcPr>
            <w:tcW w:w="864"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Health.</w:t>
            </w:r>
          </w:p>
        </w:tc>
        <w:tc>
          <w:tcPr>
            <w:tcW w:w="607"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Ind.</w:t>
            </w:r>
          </w:p>
        </w:tc>
        <w:tc>
          <w:tcPr>
            <w:tcW w:w="667"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Re. Est.</w:t>
            </w:r>
          </w:p>
        </w:tc>
        <w:tc>
          <w:tcPr>
            <w:tcW w:w="697"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Tech.</w:t>
            </w:r>
          </w:p>
        </w:tc>
        <w:tc>
          <w:tcPr>
            <w:tcW w:w="607"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Util.</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01/07/1998</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30/06/2003</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0.27</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0.44</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0.43</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0.09</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0.07</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0.26</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0.42</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0.44</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0.11</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01/07/1999</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30/06/2004</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0.30</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0.42</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0.40</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0.03</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0.01</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0.25</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0.45</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0.42</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0.14</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01/07/2000</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30/06/2005</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0.25</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0.45</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0.39</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0.21</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0.34</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-0.01</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0.28</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0.39</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0.44</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0.21</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01/07/2001</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30/06/2006</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0.29</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0.42</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0.40</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0.21</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0.49</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0.34</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0.37</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0.45</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0.28</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01/07/2002</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30/06/2007</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0.30</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0.39</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0.21</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0.50</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0.15</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0.31</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0.37</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0.42</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0.26</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01/07/2003</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30/06/2008</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0.35</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0.41</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0.40</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0.29</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0.51</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0.28</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0.37</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0.34</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0.40</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0.32</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01/07/2004</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30/06/2009</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0.48</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0.41</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0.44</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0.40</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0.67</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0.47</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0.48</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0.54</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0.50</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0.37</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01/07/2005</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30/06/2010</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0.51</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0.42</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0.45</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0.41</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0.68</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0.49</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0.49</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0.57</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0.51</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0.39</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01/07/2006</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30/06/2011</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0.50</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0.44</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0.43</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0.43</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0.66</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0.54</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0.49</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0.57</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0.52</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01/07/2007</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30/06/2012</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0.53</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0.43</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0.46</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0.45</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0.68</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0.56</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0.51</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0.56</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0.55</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0.39</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01/07/2008</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30/06/2013</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0.54</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0.39</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0.44</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0.44</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0.47</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0.55</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0.50</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0.56</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0.54</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0.36</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01/07/2009</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30/06/2014</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0.43</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0.32</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0.37</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0.51</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0.49</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0.42</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0.42</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0.48</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0.32</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01/07/2010</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30/06/2015</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0.36</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0.28</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0.35</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0.36</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0.34</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0.45</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0.25</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01/07/2011</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30/06/2016</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0.32</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0.33</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0.37</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0.48</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0.41</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0.41</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0.46</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0.26</w:t>
            </w:r>
          </w:p>
        </w:tc>
      </w:tr>
      <w:tr w:rsidR="00247CC5" w:rsidRPr="00B3329E" w:rsidTr="00AF16F2">
        <w:trPr>
          <w:trHeight w:val="300"/>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01/07/2012</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30/06/2017</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0.22</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0.30</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0.30</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0.32</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0.37</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0.31</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0.32</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0.27</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0.35</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0.24</w:t>
            </w:r>
          </w:p>
        </w:tc>
      </w:tr>
      <w:tr w:rsidR="00247CC5" w:rsidRPr="00B3329E" w:rsidTr="00AF16F2">
        <w:trPr>
          <w:trHeight w:val="288"/>
        </w:trPr>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01/07/2013</w:t>
            </w:r>
          </w:p>
        </w:tc>
        <w:tc>
          <w:tcPr>
            <w:tcW w:w="1278"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30/06/2018</w:t>
            </w:r>
          </w:p>
        </w:tc>
        <w:tc>
          <w:tcPr>
            <w:tcW w:w="70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0.23</w:t>
            </w:r>
          </w:p>
        </w:tc>
        <w:tc>
          <w:tcPr>
            <w:tcW w:w="7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0.30</w:t>
            </w:r>
          </w:p>
        </w:tc>
        <w:tc>
          <w:tcPr>
            <w:tcW w:w="7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0.31</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0.34</w:t>
            </w:r>
          </w:p>
        </w:tc>
        <w:tc>
          <w:tcPr>
            <w:tcW w:w="65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0.39</w:t>
            </w:r>
          </w:p>
        </w:tc>
        <w:tc>
          <w:tcPr>
            <w:tcW w:w="864"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0.23</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0.32</w:t>
            </w:r>
          </w:p>
        </w:tc>
        <w:tc>
          <w:tcPr>
            <w:tcW w:w="66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0.16</w:t>
            </w:r>
          </w:p>
        </w:tc>
        <w:tc>
          <w:tcPr>
            <w:tcW w:w="69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0.36</w:t>
            </w:r>
          </w:p>
        </w:tc>
        <w:tc>
          <w:tcPr>
            <w:tcW w:w="60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0.21</w:t>
            </w:r>
          </w:p>
        </w:tc>
      </w:tr>
      <w:tr w:rsidR="00247CC5" w:rsidRPr="00B3329E" w:rsidTr="00AF16F2">
        <w:trPr>
          <w:trHeight w:val="288"/>
        </w:trPr>
        <w:tc>
          <w:tcPr>
            <w:tcW w:w="1278"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1278"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705"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709"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70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60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659"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864"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60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66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69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60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r>
      <w:tr w:rsidR="00247CC5" w:rsidRPr="00B3329E" w:rsidTr="00AF16F2">
        <w:trPr>
          <w:trHeight w:val="288"/>
        </w:trPr>
        <w:tc>
          <w:tcPr>
            <w:tcW w:w="2556" w:type="dxa"/>
            <w:gridSpan w:val="2"/>
            <w:tcBorders>
              <w:top w:val="nil"/>
              <w:left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Mean</w:t>
            </w:r>
          </w:p>
        </w:tc>
        <w:tc>
          <w:tcPr>
            <w:tcW w:w="705" w:type="dxa"/>
            <w:tcBorders>
              <w:top w:val="nil"/>
              <w:left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0.37</w:t>
            </w:r>
          </w:p>
        </w:tc>
        <w:tc>
          <w:tcPr>
            <w:tcW w:w="709" w:type="dxa"/>
            <w:tcBorders>
              <w:top w:val="nil"/>
              <w:left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707" w:type="dxa"/>
            <w:tcBorders>
              <w:top w:val="nil"/>
              <w:left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0.40</w:t>
            </w:r>
          </w:p>
        </w:tc>
        <w:tc>
          <w:tcPr>
            <w:tcW w:w="607" w:type="dxa"/>
            <w:tcBorders>
              <w:top w:val="nil"/>
              <w:left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0.31</w:t>
            </w:r>
          </w:p>
        </w:tc>
        <w:tc>
          <w:tcPr>
            <w:tcW w:w="659" w:type="dxa"/>
            <w:tcBorders>
              <w:top w:val="nil"/>
              <w:left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0.51</w:t>
            </w:r>
          </w:p>
        </w:tc>
        <w:tc>
          <w:tcPr>
            <w:tcW w:w="864" w:type="dxa"/>
            <w:tcBorders>
              <w:top w:val="nil"/>
              <w:left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0.31</w:t>
            </w:r>
          </w:p>
        </w:tc>
        <w:tc>
          <w:tcPr>
            <w:tcW w:w="607" w:type="dxa"/>
            <w:tcBorders>
              <w:top w:val="nil"/>
              <w:left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667" w:type="dxa"/>
            <w:tcBorders>
              <w:top w:val="nil"/>
              <w:left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0.42</w:t>
            </w:r>
          </w:p>
        </w:tc>
        <w:tc>
          <w:tcPr>
            <w:tcW w:w="697" w:type="dxa"/>
            <w:tcBorders>
              <w:top w:val="nil"/>
              <w:left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0.46</w:t>
            </w:r>
          </w:p>
        </w:tc>
        <w:tc>
          <w:tcPr>
            <w:tcW w:w="607" w:type="dxa"/>
            <w:tcBorders>
              <w:top w:val="nil"/>
              <w:left w:val="nil"/>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0.28</w:t>
            </w:r>
          </w:p>
        </w:tc>
      </w:tr>
      <w:tr w:rsidR="00247CC5" w:rsidRPr="00B3329E" w:rsidTr="00AF16F2">
        <w:trPr>
          <w:trHeight w:val="288"/>
        </w:trPr>
        <w:tc>
          <w:tcPr>
            <w:tcW w:w="2556" w:type="dxa"/>
            <w:gridSpan w:val="2"/>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Standard Deviation</w:t>
            </w:r>
          </w:p>
        </w:tc>
        <w:tc>
          <w:tcPr>
            <w:tcW w:w="705"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0.11</w:t>
            </w:r>
          </w:p>
        </w:tc>
        <w:tc>
          <w:tcPr>
            <w:tcW w:w="709"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0.06</w:t>
            </w:r>
          </w:p>
        </w:tc>
        <w:tc>
          <w:tcPr>
            <w:tcW w:w="70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0.05</w:t>
            </w:r>
          </w:p>
        </w:tc>
        <w:tc>
          <w:tcPr>
            <w:tcW w:w="60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0.12</w:t>
            </w:r>
          </w:p>
        </w:tc>
        <w:tc>
          <w:tcPr>
            <w:tcW w:w="659"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0.12</w:t>
            </w:r>
          </w:p>
        </w:tc>
        <w:tc>
          <w:tcPr>
            <w:tcW w:w="864"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0.19</w:t>
            </w:r>
          </w:p>
        </w:tc>
        <w:tc>
          <w:tcPr>
            <w:tcW w:w="60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0.09</w:t>
            </w:r>
          </w:p>
        </w:tc>
        <w:tc>
          <w:tcPr>
            <w:tcW w:w="66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0.11</w:t>
            </w:r>
          </w:p>
        </w:tc>
        <w:tc>
          <w:tcPr>
            <w:tcW w:w="69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0.06</w:t>
            </w:r>
          </w:p>
        </w:tc>
        <w:tc>
          <w:tcPr>
            <w:tcW w:w="607"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right"/>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0.08</w:t>
            </w:r>
          </w:p>
        </w:tc>
      </w:tr>
    </w:tbl>
    <w:p w:rsidR="00247CC5" w:rsidRPr="00B3329E" w:rsidRDefault="00247CC5" w:rsidP="00247CC5">
      <w:pPr>
        <w:spacing w:after="0"/>
        <w:rPr>
          <w:rFonts w:ascii="Tahoma" w:hAnsi="Tahoma" w:cs="Tahoma"/>
          <w:color w:val="000000" w:themeColor="text1"/>
        </w:rPr>
      </w:pPr>
    </w:p>
    <w:p w:rsidR="00247CC5" w:rsidRPr="0097491F" w:rsidRDefault="00247CC5" w:rsidP="00247CC5">
      <w:pPr>
        <w:pStyle w:val="ab"/>
      </w:pPr>
      <w:r w:rsidRPr="00490BC9">
        <w:t xml:space="preserve">Table </w:t>
      </w:r>
      <w:r>
        <w:t>11</w:t>
      </w:r>
      <w:r w:rsidRPr="00490BC9">
        <w:t xml:space="preserve">: </w:t>
      </w:r>
      <w:r>
        <w:t>Rolling</w:t>
      </w:r>
      <w:r w:rsidRPr="00490BC9">
        <w:t xml:space="preserve"> correlation of </w:t>
      </w:r>
      <w:r>
        <w:t>active funds</w:t>
      </w:r>
      <w:r w:rsidRPr="00490BC9">
        <w:t xml:space="preserve"> and global equities</w:t>
      </w:r>
    </w:p>
    <w:tbl>
      <w:tblPr>
        <w:tblW w:w="6240" w:type="dxa"/>
        <w:jc w:val="center"/>
        <w:tblLook w:val="04A0" w:firstRow="1" w:lastRow="0" w:firstColumn="1" w:lastColumn="0" w:noHBand="0" w:noVBand="1"/>
      </w:tblPr>
      <w:tblGrid>
        <w:gridCol w:w="1560"/>
        <w:gridCol w:w="1560"/>
        <w:gridCol w:w="1560"/>
        <w:gridCol w:w="1560"/>
      </w:tblGrid>
      <w:tr w:rsidR="00247CC5" w:rsidRPr="00B3329E" w:rsidTr="00AF16F2">
        <w:trPr>
          <w:trHeight w:val="252"/>
          <w:jc w:val="center"/>
        </w:trPr>
        <w:tc>
          <w:tcPr>
            <w:tcW w:w="156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bCs/>
                <w:iCs/>
                <w:color w:val="000000" w:themeColor="text1"/>
                <w:sz w:val="18"/>
                <w:szCs w:val="18"/>
                <w:lang w:eastAsia="en-GB"/>
              </w:rPr>
            </w:pPr>
            <w:r w:rsidRPr="00B3329E">
              <w:rPr>
                <w:rFonts w:ascii="Tahoma" w:eastAsia="Times New Roman" w:hAnsi="Tahoma" w:cs="Tahoma"/>
                <w:bCs/>
                <w:iCs/>
                <w:color w:val="000000" w:themeColor="text1"/>
                <w:sz w:val="18"/>
                <w:szCs w:val="18"/>
                <w:lang w:eastAsia="en-GB"/>
              </w:rPr>
              <w:t>Start date</w:t>
            </w:r>
          </w:p>
        </w:tc>
        <w:tc>
          <w:tcPr>
            <w:tcW w:w="156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End date</w:t>
            </w:r>
          </w:p>
        </w:tc>
        <w:tc>
          <w:tcPr>
            <w:tcW w:w="156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Correlation</w:t>
            </w:r>
          </w:p>
        </w:tc>
        <w:tc>
          <w:tcPr>
            <w:tcW w:w="156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bCs/>
                <w:color w:val="000000" w:themeColor="text1"/>
                <w:sz w:val="18"/>
                <w:szCs w:val="18"/>
                <w:lang w:eastAsia="en-GB"/>
              </w:rPr>
            </w:pPr>
            <w:r w:rsidRPr="00B3329E">
              <w:rPr>
                <w:rFonts w:ascii="Tahoma" w:eastAsia="Times New Roman" w:hAnsi="Tahoma" w:cs="Tahoma"/>
                <w:bCs/>
                <w:color w:val="000000" w:themeColor="text1"/>
                <w:sz w:val="18"/>
                <w:szCs w:val="18"/>
                <w:lang w:eastAsia="en-GB"/>
              </w:rPr>
              <w:t>Count</w:t>
            </w: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01/07/1998</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30/06/2003</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01/07/1999</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30/06/2004</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01/07/2000</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30/06/2005</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01/07/2001</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30/06/2006</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01/07/2002</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30/06/2007</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0.83</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w:t>
            </w: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01/07/2003</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30/06/2008</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0.84</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w:t>
            </w: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01/07/2004</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30/06/2009</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0.75</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w:t>
            </w: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01/07/2005</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30/06/2010</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0.76</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5</w:t>
            </w: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01/07/2006</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30/06/2011</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0.73</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13</w:t>
            </w: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01/07/2007</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30/06/2012</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0.74</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19</w:t>
            </w: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01/07/2008</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30/06/2013</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0.72</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37</w:t>
            </w: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01/07/2009</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30/06/2014</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0.61</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40</w:t>
            </w: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01/07/2010</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30/06/2015</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0.55</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46</w:t>
            </w:r>
          </w:p>
        </w:tc>
      </w:tr>
      <w:tr w:rsidR="00247CC5" w:rsidRPr="00B3329E" w:rsidTr="00AF16F2">
        <w:trPr>
          <w:trHeight w:val="252"/>
          <w:jc w:val="center"/>
        </w:trPr>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01/07/2011</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30/06/2016</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0.60</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54</w:t>
            </w:r>
          </w:p>
        </w:tc>
      </w:tr>
      <w:tr w:rsidR="00247CC5" w:rsidRPr="00B3329E" w:rsidTr="00AF16F2">
        <w:trPr>
          <w:trHeight w:val="252"/>
          <w:jc w:val="center"/>
        </w:trPr>
        <w:tc>
          <w:tcPr>
            <w:tcW w:w="1560" w:type="dxa"/>
            <w:tcBorders>
              <w:top w:val="nil"/>
              <w:left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01/07/2012</w:t>
            </w:r>
          </w:p>
        </w:tc>
        <w:tc>
          <w:tcPr>
            <w:tcW w:w="1560" w:type="dxa"/>
            <w:tcBorders>
              <w:top w:val="nil"/>
              <w:left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30/06/2017</w:t>
            </w:r>
          </w:p>
        </w:tc>
        <w:tc>
          <w:tcPr>
            <w:tcW w:w="1560" w:type="dxa"/>
            <w:tcBorders>
              <w:top w:val="nil"/>
              <w:left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0.53</w:t>
            </w:r>
          </w:p>
        </w:tc>
        <w:tc>
          <w:tcPr>
            <w:tcW w:w="1560" w:type="dxa"/>
            <w:tcBorders>
              <w:top w:val="nil"/>
              <w:left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61</w:t>
            </w:r>
          </w:p>
        </w:tc>
      </w:tr>
      <w:tr w:rsidR="00247CC5" w:rsidRPr="00B3329E" w:rsidTr="00AF16F2">
        <w:trPr>
          <w:trHeight w:val="252"/>
          <w:jc w:val="center"/>
        </w:trPr>
        <w:tc>
          <w:tcPr>
            <w:tcW w:w="156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01/07/2013</w:t>
            </w:r>
          </w:p>
        </w:tc>
        <w:tc>
          <w:tcPr>
            <w:tcW w:w="156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30/06/2018</w:t>
            </w:r>
          </w:p>
        </w:tc>
        <w:tc>
          <w:tcPr>
            <w:tcW w:w="156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0.52</w:t>
            </w:r>
          </w:p>
        </w:tc>
        <w:tc>
          <w:tcPr>
            <w:tcW w:w="156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68</w:t>
            </w:r>
          </w:p>
        </w:tc>
      </w:tr>
    </w:tbl>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Pr="00AB0BAE" w:rsidRDefault="00247CC5" w:rsidP="00247CC5">
      <w:pPr>
        <w:pStyle w:val="ab"/>
      </w:pPr>
      <w:r w:rsidRPr="00490BC9">
        <w:t xml:space="preserve">Table </w:t>
      </w:r>
      <w:r>
        <w:t>12</w:t>
      </w:r>
      <w:r w:rsidRPr="00490BC9">
        <w:t xml:space="preserve">: </w:t>
      </w:r>
      <w:r>
        <w:t>Rolling</w:t>
      </w:r>
      <w:r w:rsidRPr="00490BC9">
        <w:t xml:space="preserve"> correlation of </w:t>
      </w:r>
      <w:r>
        <w:t>indices (all)</w:t>
      </w:r>
      <w:r w:rsidRPr="00490BC9">
        <w:t xml:space="preserve"> and global equities</w:t>
      </w:r>
    </w:p>
    <w:tbl>
      <w:tblPr>
        <w:tblW w:w="5900" w:type="dxa"/>
        <w:jc w:val="center"/>
        <w:tblLook w:val="04A0" w:firstRow="1" w:lastRow="0" w:firstColumn="1" w:lastColumn="0" w:noHBand="0" w:noVBand="1"/>
      </w:tblPr>
      <w:tblGrid>
        <w:gridCol w:w="1820"/>
        <w:gridCol w:w="1660"/>
        <w:gridCol w:w="1380"/>
        <w:gridCol w:w="1040"/>
      </w:tblGrid>
      <w:tr w:rsidR="00247CC5" w:rsidRPr="00B3329E" w:rsidTr="00AF16F2">
        <w:trPr>
          <w:trHeight w:val="288"/>
          <w:jc w:val="center"/>
        </w:trPr>
        <w:tc>
          <w:tcPr>
            <w:tcW w:w="182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Start date</w:t>
            </w:r>
          </w:p>
        </w:tc>
        <w:tc>
          <w:tcPr>
            <w:tcW w:w="166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End date</w:t>
            </w:r>
          </w:p>
        </w:tc>
        <w:tc>
          <w:tcPr>
            <w:tcW w:w="138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Correlation</w:t>
            </w:r>
          </w:p>
        </w:tc>
        <w:tc>
          <w:tcPr>
            <w:tcW w:w="104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01/07/1998</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30/06/2003</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0.29</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01/07/1999</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30/06/2004</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0.53</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7</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01/07/2000</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30/06/2005</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0.57</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7</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01/07/2001</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30/06/2006</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0.61</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9</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01/07/2002</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30/06/2007</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0.59</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11</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01/07/2003</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30/06/2008</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0.59</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21</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01/07/2004</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30/06/2009</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0.75</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24</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01/07/2005</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30/06/2010</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0.77</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25</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01/07/2006</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30/06/2011</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0.79</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27</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01/07/2007</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30/06/2012</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0.80</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28</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01/07/2008</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30/06/2013</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0.78</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29</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01/07/2009</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30/06/2014</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0.71</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01/07/2010</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30/06/2015</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0.66</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31</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01/07/2011</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30/06/2016</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0.65</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31</w:t>
            </w:r>
          </w:p>
        </w:tc>
      </w:tr>
      <w:tr w:rsidR="00247CC5" w:rsidRPr="00B3329E" w:rsidTr="00AF16F2">
        <w:trPr>
          <w:trHeight w:val="288"/>
          <w:jc w:val="center"/>
        </w:trPr>
        <w:tc>
          <w:tcPr>
            <w:tcW w:w="18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01/07/2012</w:t>
            </w:r>
          </w:p>
        </w:tc>
        <w:tc>
          <w:tcPr>
            <w:tcW w:w="16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30/06/2017</w:t>
            </w:r>
          </w:p>
        </w:tc>
        <w:tc>
          <w:tcPr>
            <w:tcW w:w="13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0.55</w:t>
            </w:r>
          </w:p>
        </w:tc>
        <w:tc>
          <w:tcPr>
            <w:tcW w:w="10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32</w:t>
            </w:r>
          </w:p>
        </w:tc>
      </w:tr>
      <w:tr w:rsidR="00247CC5" w:rsidRPr="00B3329E" w:rsidTr="00AF16F2">
        <w:trPr>
          <w:trHeight w:val="288"/>
          <w:jc w:val="center"/>
        </w:trPr>
        <w:tc>
          <w:tcPr>
            <w:tcW w:w="182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01/07/2013</w:t>
            </w:r>
          </w:p>
        </w:tc>
        <w:tc>
          <w:tcPr>
            <w:tcW w:w="166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30/06/2018</w:t>
            </w:r>
          </w:p>
        </w:tc>
        <w:tc>
          <w:tcPr>
            <w:tcW w:w="138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0.53</w:t>
            </w:r>
          </w:p>
        </w:tc>
        <w:tc>
          <w:tcPr>
            <w:tcW w:w="104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33</w:t>
            </w:r>
          </w:p>
        </w:tc>
      </w:tr>
    </w:tbl>
    <w:p w:rsidR="00247CC5" w:rsidRDefault="00247CC5" w:rsidP="00247CC5">
      <w:pPr>
        <w:spacing w:after="0"/>
        <w:rPr>
          <w:rFonts w:ascii="Tahoma" w:hAnsi="Tahoma" w:cs="Tahoma"/>
          <w:color w:val="000000" w:themeColor="text1"/>
        </w:rPr>
      </w:pPr>
    </w:p>
    <w:p w:rsidR="00247CC5" w:rsidRPr="00E97A1D" w:rsidRDefault="00247CC5" w:rsidP="00247CC5">
      <w:pPr>
        <w:pStyle w:val="ab"/>
      </w:pPr>
      <w:r w:rsidRPr="00490BC9">
        <w:t xml:space="preserve">Table </w:t>
      </w:r>
      <w:r>
        <w:t>13</w:t>
      </w:r>
      <w:r w:rsidRPr="00490BC9">
        <w:t xml:space="preserve">: </w:t>
      </w:r>
      <w:r>
        <w:t>Rolling</w:t>
      </w:r>
      <w:r w:rsidRPr="00490BC9">
        <w:t xml:space="preserve"> correlation of </w:t>
      </w:r>
      <w:r>
        <w:t>indices (global)</w:t>
      </w:r>
      <w:r w:rsidRPr="00490BC9">
        <w:t xml:space="preserve"> and global equities</w:t>
      </w:r>
    </w:p>
    <w:tbl>
      <w:tblPr>
        <w:tblW w:w="5480" w:type="dxa"/>
        <w:jc w:val="center"/>
        <w:tblLook w:val="04A0" w:firstRow="1" w:lastRow="0" w:firstColumn="1" w:lastColumn="0" w:noHBand="0" w:noVBand="1"/>
      </w:tblPr>
      <w:tblGrid>
        <w:gridCol w:w="1460"/>
        <w:gridCol w:w="1560"/>
        <w:gridCol w:w="1520"/>
        <w:gridCol w:w="940"/>
      </w:tblGrid>
      <w:tr w:rsidR="00247CC5" w:rsidRPr="00B3329E" w:rsidTr="00AF16F2">
        <w:trPr>
          <w:trHeight w:val="252"/>
          <w:jc w:val="center"/>
        </w:trPr>
        <w:tc>
          <w:tcPr>
            <w:tcW w:w="146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Start date</w:t>
            </w:r>
          </w:p>
        </w:tc>
        <w:tc>
          <w:tcPr>
            <w:tcW w:w="156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End date</w:t>
            </w:r>
          </w:p>
        </w:tc>
        <w:tc>
          <w:tcPr>
            <w:tcW w:w="152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Correlation</w:t>
            </w:r>
          </w:p>
        </w:tc>
        <w:tc>
          <w:tcPr>
            <w:tcW w:w="940" w:type="dxa"/>
            <w:tcBorders>
              <w:top w:val="single" w:sz="4"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Count</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01/07/1998</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30/06/2003</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01/07/1999</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30/06/2004</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0.78</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01/07/2000</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30/06/2005</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0.77</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w:t>
            </w:r>
          </w:p>
        </w:tc>
      </w:tr>
      <w:tr w:rsidR="00247CC5" w:rsidRPr="00B3329E" w:rsidTr="00AF16F2">
        <w:trPr>
          <w:trHeight w:val="181"/>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01/07/2001</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30/06/2006</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0.77</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01/07/2002</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30/06/2007</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0.72</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01/07/2003</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30/06/2008</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0.70</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9</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01/07/2004</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30/06/2009</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0.86</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11</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01/07/2005</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30/06/2010</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0.88</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11</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01/07/2006</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30/06/2011</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0.90</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13</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01/07/2007</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30/06/2012</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0.90</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14</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01/07/2008</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30/06/2013</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0.88</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14</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01/07/2009</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30/06/2014</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0.83</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14</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01/07/2010</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30/06/2015</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0.77</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15</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01/07/2011</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30/06/2016</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0.75</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15</w:t>
            </w:r>
          </w:p>
        </w:tc>
      </w:tr>
      <w:tr w:rsidR="00247CC5" w:rsidRPr="00B3329E" w:rsidTr="00AF16F2">
        <w:trPr>
          <w:trHeight w:val="252"/>
          <w:jc w:val="center"/>
        </w:trPr>
        <w:tc>
          <w:tcPr>
            <w:tcW w:w="14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01/07/2012</w:t>
            </w:r>
          </w:p>
        </w:tc>
        <w:tc>
          <w:tcPr>
            <w:tcW w:w="156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30/06/2017</w:t>
            </w:r>
          </w:p>
        </w:tc>
        <w:tc>
          <w:tcPr>
            <w:tcW w:w="152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0.62</w:t>
            </w:r>
          </w:p>
        </w:tc>
        <w:tc>
          <w:tcPr>
            <w:tcW w:w="94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16</w:t>
            </w:r>
          </w:p>
        </w:tc>
      </w:tr>
      <w:tr w:rsidR="00247CC5" w:rsidRPr="00B3329E" w:rsidTr="00AF16F2">
        <w:trPr>
          <w:trHeight w:val="252"/>
          <w:jc w:val="center"/>
        </w:trPr>
        <w:tc>
          <w:tcPr>
            <w:tcW w:w="146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01/07/2013</w:t>
            </w:r>
          </w:p>
        </w:tc>
        <w:tc>
          <w:tcPr>
            <w:tcW w:w="156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30/06/2018</w:t>
            </w:r>
          </w:p>
        </w:tc>
        <w:tc>
          <w:tcPr>
            <w:tcW w:w="152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0.62</w:t>
            </w:r>
          </w:p>
        </w:tc>
        <w:tc>
          <w:tcPr>
            <w:tcW w:w="940" w:type="dxa"/>
            <w:tcBorders>
              <w:top w:val="nil"/>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16</w:t>
            </w:r>
          </w:p>
        </w:tc>
      </w:tr>
    </w:tbl>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Default="00247CC5" w:rsidP="00247CC5">
      <w:pPr>
        <w:spacing w:after="0"/>
        <w:rPr>
          <w:rFonts w:ascii="Tahoma" w:hAnsi="Tahoma" w:cs="Tahoma"/>
          <w:b/>
          <w:color w:val="000000" w:themeColor="text1"/>
        </w:rPr>
      </w:pPr>
    </w:p>
    <w:p w:rsidR="00247CC5" w:rsidRPr="00AB0BAE" w:rsidRDefault="00247CC5" w:rsidP="00247CC5">
      <w:pPr>
        <w:pStyle w:val="ab"/>
      </w:pPr>
      <w:r w:rsidRPr="00490BC9">
        <w:t xml:space="preserve">Table </w:t>
      </w:r>
      <w:r>
        <w:t>14</w:t>
      </w:r>
      <w:r w:rsidRPr="00490BC9">
        <w:t xml:space="preserve">: </w:t>
      </w:r>
      <w:r>
        <w:t>T-test statistics for active funds and indices (global)</w:t>
      </w:r>
    </w:p>
    <w:tbl>
      <w:tblPr>
        <w:tblW w:w="6804" w:type="dxa"/>
        <w:jc w:val="center"/>
        <w:tblLook w:val="04A0" w:firstRow="1" w:lastRow="0" w:firstColumn="1" w:lastColumn="0" w:noHBand="0" w:noVBand="1"/>
      </w:tblPr>
      <w:tblGrid>
        <w:gridCol w:w="2127"/>
        <w:gridCol w:w="2126"/>
        <w:gridCol w:w="2551"/>
      </w:tblGrid>
      <w:tr w:rsidR="00247CC5" w:rsidRPr="00B3329E" w:rsidTr="00AF16F2">
        <w:trPr>
          <w:trHeight w:val="288"/>
          <w:jc w:val="center"/>
        </w:trPr>
        <w:tc>
          <w:tcPr>
            <w:tcW w:w="2127" w:type="dxa"/>
            <w:tcBorders>
              <w:top w:val="single" w:sz="8"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lastRenderedPageBreak/>
              <w:t> </w:t>
            </w:r>
          </w:p>
        </w:tc>
        <w:tc>
          <w:tcPr>
            <w:tcW w:w="2126" w:type="dxa"/>
            <w:tcBorders>
              <w:top w:val="single" w:sz="8"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Active funds</w:t>
            </w:r>
          </w:p>
        </w:tc>
        <w:tc>
          <w:tcPr>
            <w:tcW w:w="2551" w:type="dxa"/>
            <w:tcBorders>
              <w:top w:val="single" w:sz="8"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Indices (Global)</w:t>
            </w:r>
          </w:p>
        </w:tc>
      </w:tr>
      <w:tr w:rsidR="00247CC5" w:rsidRPr="00B3329E" w:rsidTr="00AF16F2">
        <w:trPr>
          <w:trHeight w:val="288"/>
          <w:jc w:val="center"/>
        </w:trPr>
        <w:tc>
          <w:tcPr>
            <w:tcW w:w="212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Mean</w:t>
            </w:r>
          </w:p>
        </w:tc>
        <w:tc>
          <w:tcPr>
            <w:tcW w:w="2126"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0.65</w:t>
            </w:r>
          </w:p>
        </w:tc>
        <w:tc>
          <w:tcPr>
            <w:tcW w:w="2551"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0.82</w:t>
            </w:r>
          </w:p>
        </w:tc>
      </w:tr>
      <w:tr w:rsidR="00247CC5" w:rsidRPr="00B3329E" w:rsidTr="00AF16F2">
        <w:trPr>
          <w:trHeight w:val="288"/>
          <w:jc w:val="center"/>
        </w:trPr>
        <w:tc>
          <w:tcPr>
            <w:tcW w:w="212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Variance</w:t>
            </w:r>
          </w:p>
        </w:tc>
        <w:tc>
          <w:tcPr>
            <w:tcW w:w="2126"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0.02</w:t>
            </w:r>
          </w:p>
        </w:tc>
        <w:tc>
          <w:tcPr>
            <w:tcW w:w="2551"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0.00</w:t>
            </w:r>
          </w:p>
        </w:tc>
      </w:tr>
      <w:tr w:rsidR="00247CC5" w:rsidRPr="00B3329E" w:rsidTr="00AF16F2">
        <w:trPr>
          <w:trHeight w:val="288"/>
          <w:jc w:val="center"/>
        </w:trPr>
        <w:tc>
          <w:tcPr>
            <w:tcW w:w="212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Observations</w:t>
            </w:r>
          </w:p>
        </w:tc>
        <w:tc>
          <w:tcPr>
            <w:tcW w:w="2126"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37</w:t>
            </w:r>
          </w:p>
        </w:tc>
        <w:tc>
          <w:tcPr>
            <w:tcW w:w="2551"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11</w:t>
            </w:r>
          </w:p>
        </w:tc>
      </w:tr>
      <w:tr w:rsidR="00247CC5" w:rsidRPr="00B3329E" w:rsidTr="00AF16F2">
        <w:trPr>
          <w:trHeight w:val="288"/>
          <w:jc w:val="center"/>
        </w:trPr>
        <w:tc>
          <w:tcPr>
            <w:tcW w:w="212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df</w:t>
            </w:r>
          </w:p>
        </w:tc>
        <w:tc>
          <w:tcPr>
            <w:tcW w:w="2126"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45</w:t>
            </w:r>
          </w:p>
        </w:tc>
        <w:tc>
          <w:tcPr>
            <w:tcW w:w="2551"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r w:rsidR="00247CC5" w:rsidRPr="00B3329E" w:rsidTr="00AF16F2">
        <w:trPr>
          <w:trHeight w:val="288"/>
          <w:jc w:val="center"/>
        </w:trPr>
        <w:tc>
          <w:tcPr>
            <w:tcW w:w="212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t Stat</w:t>
            </w:r>
          </w:p>
        </w:tc>
        <w:tc>
          <w:tcPr>
            <w:tcW w:w="2126"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-6.88</w:t>
            </w:r>
          </w:p>
        </w:tc>
        <w:tc>
          <w:tcPr>
            <w:tcW w:w="2551"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r w:rsidR="00247CC5" w:rsidRPr="00B3329E" w:rsidTr="00AF16F2">
        <w:trPr>
          <w:trHeight w:val="288"/>
          <w:jc w:val="center"/>
        </w:trPr>
        <w:tc>
          <w:tcPr>
            <w:tcW w:w="2127"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P(T&lt;=t) two-tail</w:t>
            </w:r>
          </w:p>
        </w:tc>
        <w:tc>
          <w:tcPr>
            <w:tcW w:w="2126"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0.00000002</w:t>
            </w:r>
          </w:p>
        </w:tc>
        <w:tc>
          <w:tcPr>
            <w:tcW w:w="2551"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r w:rsidR="00247CC5" w:rsidRPr="00B3329E" w:rsidTr="00AF16F2">
        <w:trPr>
          <w:trHeight w:val="300"/>
          <w:jc w:val="center"/>
        </w:trPr>
        <w:tc>
          <w:tcPr>
            <w:tcW w:w="2127" w:type="dxa"/>
            <w:tcBorders>
              <w:top w:val="nil"/>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t Critical two-tail</w:t>
            </w:r>
          </w:p>
        </w:tc>
        <w:tc>
          <w:tcPr>
            <w:tcW w:w="2126" w:type="dxa"/>
            <w:tcBorders>
              <w:top w:val="nil"/>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2.01</w:t>
            </w:r>
          </w:p>
        </w:tc>
        <w:tc>
          <w:tcPr>
            <w:tcW w:w="2551" w:type="dxa"/>
            <w:tcBorders>
              <w:top w:val="nil"/>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bl>
    <w:p w:rsidR="00247CC5" w:rsidRPr="00B3329E" w:rsidRDefault="00247CC5" w:rsidP="00247CC5">
      <w:pPr>
        <w:spacing w:after="0"/>
        <w:rPr>
          <w:rFonts w:ascii="Tahoma" w:hAnsi="Tahoma" w:cs="Tahoma"/>
          <w:b/>
          <w:color w:val="000000" w:themeColor="text1"/>
        </w:rPr>
      </w:pPr>
    </w:p>
    <w:p w:rsidR="00247CC5" w:rsidRPr="00AB0BAE" w:rsidRDefault="00247CC5" w:rsidP="00247CC5">
      <w:pPr>
        <w:pStyle w:val="ab"/>
      </w:pPr>
      <w:r>
        <w:t>T</w:t>
      </w:r>
      <w:r w:rsidRPr="00490BC9">
        <w:t xml:space="preserve">able </w:t>
      </w:r>
      <w:r>
        <w:t>15</w:t>
      </w:r>
      <w:r w:rsidRPr="00490BC9">
        <w:t xml:space="preserve">: </w:t>
      </w:r>
      <w:r>
        <w:t>T-test statistics for infrastructure stocks present and absent from MSCI World</w:t>
      </w:r>
    </w:p>
    <w:tbl>
      <w:tblPr>
        <w:tblW w:w="6804" w:type="dxa"/>
        <w:jc w:val="center"/>
        <w:tblLook w:val="04A0" w:firstRow="1" w:lastRow="0" w:firstColumn="1" w:lastColumn="0" w:noHBand="0" w:noVBand="1"/>
      </w:tblPr>
      <w:tblGrid>
        <w:gridCol w:w="1980"/>
        <w:gridCol w:w="2415"/>
        <w:gridCol w:w="2409"/>
      </w:tblGrid>
      <w:tr w:rsidR="00247CC5" w:rsidRPr="00B3329E" w:rsidTr="00AF16F2">
        <w:trPr>
          <w:trHeight w:val="288"/>
          <w:jc w:val="center"/>
        </w:trPr>
        <w:tc>
          <w:tcPr>
            <w:tcW w:w="1980" w:type="dxa"/>
            <w:tcBorders>
              <w:top w:val="single" w:sz="8"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 </w:t>
            </w:r>
          </w:p>
        </w:tc>
        <w:tc>
          <w:tcPr>
            <w:tcW w:w="2415" w:type="dxa"/>
            <w:tcBorders>
              <w:top w:val="single" w:sz="8"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Infrastructure Stocks (MSCI World overlap)</w:t>
            </w:r>
          </w:p>
        </w:tc>
        <w:tc>
          <w:tcPr>
            <w:tcW w:w="2409" w:type="dxa"/>
            <w:tcBorders>
              <w:top w:val="single" w:sz="8" w:space="0" w:color="auto"/>
              <w:left w:val="nil"/>
              <w:bottom w:val="single" w:sz="4"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Infrastructure Stocks (MSCI World no overlap)</w:t>
            </w:r>
          </w:p>
        </w:tc>
      </w:tr>
      <w:tr w:rsidR="00247CC5" w:rsidRPr="00B3329E" w:rsidTr="00AF16F2">
        <w:trPr>
          <w:trHeight w:val="288"/>
          <w:jc w:val="center"/>
        </w:trPr>
        <w:tc>
          <w:tcPr>
            <w:tcW w:w="19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Mean</w:t>
            </w:r>
          </w:p>
        </w:tc>
        <w:tc>
          <w:tcPr>
            <w:tcW w:w="241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0.38</w:t>
            </w:r>
          </w:p>
        </w:tc>
        <w:tc>
          <w:tcPr>
            <w:tcW w:w="24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0.43</w:t>
            </w:r>
          </w:p>
        </w:tc>
      </w:tr>
      <w:tr w:rsidR="00247CC5" w:rsidRPr="00B3329E" w:rsidTr="00AF16F2">
        <w:trPr>
          <w:trHeight w:val="288"/>
          <w:jc w:val="center"/>
        </w:trPr>
        <w:tc>
          <w:tcPr>
            <w:tcW w:w="19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Variance</w:t>
            </w:r>
          </w:p>
        </w:tc>
        <w:tc>
          <w:tcPr>
            <w:tcW w:w="241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0.02</w:t>
            </w:r>
          </w:p>
        </w:tc>
        <w:tc>
          <w:tcPr>
            <w:tcW w:w="24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0.04</w:t>
            </w:r>
          </w:p>
        </w:tc>
      </w:tr>
      <w:tr w:rsidR="00247CC5" w:rsidRPr="00B3329E" w:rsidTr="00AF16F2">
        <w:trPr>
          <w:trHeight w:val="288"/>
          <w:jc w:val="center"/>
        </w:trPr>
        <w:tc>
          <w:tcPr>
            <w:tcW w:w="19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Observations</w:t>
            </w:r>
          </w:p>
        </w:tc>
        <w:tc>
          <w:tcPr>
            <w:tcW w:w="241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409</w:t>
            </w:r>
          </w:p>
        </w:tc>
        <w:tc>
          <w:tcPr>
            <w:tcW w:w="24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154</w:t>
            </w:r>
          </w:p>
        </w:tc>
      </w:tr>
      <w:tr w:rsidR="00247CC5" w:rsidRPr="00B3329E" w:rsidTr="00AF16F2">
        <w:trPr>
          <w:trHeight w:val="288"/>
          <w:jc w:val="center"/>
        </w:trPr>
        <w:tc>
          <w:tcPr>
            <w:tcW w:w="19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df</w:t>
            </w:r>
          </w:p>
        </w:tc>
        <w:tc>
          <w:tcPr>
            <w:tcW w:w="241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229</w:t>
            </w:r>
          </w:p>
        </w:tc>
        <w:tc>
          <w:tcPr>
            <w:tcW w:w="24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r w:rsidR="00247CC5" w:rsidRPr="00B3329E" w:rsidTr="00AF16F2">
        <w:trPr>
          <w:trHeight w:val="288"/>
          <w:jc w:val="center"/>
        </w:trPr>
        <w:tc>
          <w:tcPr>
            <w:tcW w:w="19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t Stat</w:t>
            </w:r>
          </w:p>
        </w:tc>
        <w:tc>
          <w:tcPr>
            <w:tcW w:w="241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-3.17</w:t>
            </w:r>
          </w:p>
        </w:tc>
        <w:tc>
          <w:tcPr>
            <w:tcW w:w="24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r w:rsidR="00247CC5" w:rsidRPr="00B3329E" w:rsidTr="00AF16F2">
        <w:trPr>
          <w:trHeight w:val="288"/>
          <w:jc w:val="center"/>
        </w:trPr>
        <w:tc>
          <w:tcPr>
            <w:tcW w:w="1980"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P(T&lt;=t) two-tail</w:t>
            </w:r>
          </w:p>
        </w:tc>
        <w:tc>
          <w:tcPr>
            <w:tcW w:w="2415"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0.002</w:t>
            </w:r>
          </w:p>
        </w:tc>
        <w:tc>
          <w:tcPr>
            <w:tcW w:w="2409" w:type="dxa"/>
            <w:tcBorders>
              <w:top w:val="nil"/>
              <w:left w:val="nil"/>
              <w:bottom w:val="nil"/>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r w:rsidR="00247CC5" w:rsidRPr="00B3329E" w:rsidTr="00AF16F2">
        <w:trPr>
          <w:trHeight w:val="300"/>
          <w:jc w:val="center"/>
        </w:trPr>
        <w:tc>
          <w:tcPr>
            <w:tcW w:w="1980" w:type="dxa"/>
            <w:tcBorders>
              <w:top w:val="nil"/>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t Critical two-tail</w:t>
            </w:r>
          </w:p>
        </w:tc>
        <w:tc>
          <w:tcPr>
            <w:tcW w:w="2415" w:type="dxa"/>
            <w:tcBorders>
              <w:top w:val="nil"/>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r w:rsidRPr="00B3329E">
              <w:rPr>
                <w:rFonts w:ascii="Tahoma" w:eastAsia="Times New Roman" w:hAnsi="Tahoma" w:cs="Tahoma"/>
                <w:color w:val="000000" w:themeColor="text1"/>
                <w:sz w:val="18"/>
                <w:szCs w:val="18"/>
                <w:lang w:eastAsia="en-GB"/>
              </w:rPr>
              <w:t>1.97</w:t>
            </w:r>
          </w:p>
        </w:tc>
        <w:tc>
          <w:tcPr>
            <w:tcW w:w="2409" w:type="dxa"/>
            <w:tcBorders>
              <w:top w:val="nil"/>
              <w:left w:val="nil"/>
              <w:bottom w:val="single" w:sz="8" w:space="0" w:color="auto"/>
              <w:right w:val="nil"/>
            </w:tcBorders>
            <w:shd w:val="clear" w:color="auto" w:fill="auto"/>
            <w:noWrap/>
            <w:vAlign w:val="bottom"/>
            <w:hideMark/>
          </w:tcPr>
          <w:p w:rsidR="00247CC5" w:rsidRPr="00B3329E" w:rsidRDefault="00247CC5" w:rsidP="00AF16F2">
            <w:pPr>
              <w:spacing w:after="0" w:line="240" w:lineRule="auto"/>
              <w:jc w:val="center"/>
              <w:rPr>
                <w:rFonts w:ascii="Tahoma" w:eastAsia="Times New Roman" w:hAnsi="Tahoma" w:cs="Tahoma"/>
                <w:color w:val="000000" w:themeColor="text1"/>
                <w:sz w:val="18"/>
                <w:szCs w:val="18"/>
                <w:lang w:eastAsia="en-GB"/>
              </w:rPr>
            </w:pPr>
          </w:p>
        </w:tc>
      </w:tr>
    </w:tbl>
    <w:p w:rsidR="00247CC5" w:rsidRPr="00B3329E" w:rsidRDefault="00247CC5" w:rsidP="00247CC5">
      <w:pPr>
        <w:spacing w:after="0"/>
        <w:rPr>
          <w:rFonts w:ascii="Tahoma" w:hAnsi="Tahoma" w:cs="Tahoma"/>
          <w:b/>
          <w:color w:val="000000" w:themeColor="text1"/>
        </w:rPr>
      </w:pPr>
    </w:p>
    <w:p w:rsidR="00247CC5" w:rsidRPr="00B3329E" w:rsidRDefault="00247CC5" w:rsidP="00247CC5">
      <w:pPr>
        <w:spacing w:after="0"/>
        <w:rPr>
          <w:rFonts w:ascii="Tahoma" w:hAnsi="Tahoma" w:cs="Tahoma"/>
          <w:b/>
          <w:color w:val="000000" w:themeColor="text1"/>
        </w:rPr>
      </w:pPr>
    </w:p>
    <w:p w:rsidR="00247CC5" w:rsidRDefault="00247CC5">
      <w:pPr>
        <w:rPr>
          <w:rFonts w:ascii="Tahoma" w:eastAsiaTheme="majorEastAsia" w:hAnsi="Tahoma" w:cs="Tahoma"/>
          <w:b/>
          <w:color w:val="000000" w:themeColor="text1"/>
          <w:sz w:val="28"/>
          <w:szCs w:val="36"/>
        </w:rPr>
      </w:pPr>
      <w:r>
        <w:rPr>
          <w:rFonts w:cs="Tahoma"/>
          <w:color w:val="000000" w:themeColor="text1"/>
        </w:rPr>
        <w:br w:type="page"/>
      </w:r>
    </w:p>
    <w:p w:rsidR="00535327" w:rsidRPr="00B3329E" w:rsidRDefault="00535327" w:rsidP="003363A1">
      <w:pPr>
        <w:pStyle w:val="1"/>
        <w:rPr>
          <w:rFonts w:cs="Tahoma"/>
          <w:color w:val="000000" w:themeColor="text1"/>
        </w:rPr>
      </w:pPr>
      <w:r w:rsidRPr="00B3329E">
        <w:rPr>
          <w:rFonts w:cs="Tahoma"/>
          <w:color w:val="000000" w:themeColor="text1"/>
        </w:rPr>
        <w:lastRenderedPageBreak/>
        <w:t>References</w:t>
      </w:r>
      <w:bookmarkEnd w:id="59"/>
    </w:p>
    <w:p w:rsidR="00D771A8" w:rsidRPr="00B3329E" w:rsidRDefault="00D771A8" w:rsidP="00D771A8">
      <w:pPr>
        <w:spacing w:after="0"/>
        <w:rPr>
          <w:rFonts w:ascii="Tahoma" w:hAnsi="Tahoma" w:cs="Tahoma"/>
          <w:iCs/>
          <w:color w:val="000000" w:themeColor="text1"/>
        </w:rPr>
      </w:pPr>
    </w:p>
    <w:p w:rsidR="00954976" w:rsidRPr="00B3329E" w:rsidRDefault="00B17631" w:rsidP="00EA6483">
      <w:pPr>
        <w:spacing w:after="0"/>
        <w:rPr>
          <w:rFonts w:ascii="Tahoma" w:hAnsi="Tahoma" w:cs="Tahoma"/>
          <w:iCs/>
          <w:color w:val="000000" w:themeColor="text1"/>
        </w:rPr>
      </w:pPr>
      <w:r w:rsidRPr="00B3329E">
        <w:rPr>
          <w:rFonts w:ascii="Tahoma" w:hAnsi="Tahoma" w:cs="Tahoma"/>
          <w:color w:val="000000" w:themeColor="text1"/>
        </w:rPr>
        <w:t>N. Amenc, F. G</w:t>
      </w:r>
      <w:r w:rsidR="00642EC4" w:rsidRPr="00B3329E">
        <w:rPr>
          <w:rFonts w:ascii="Tahoma" w:hAnsi="Tahoma" w:cs="Tahoma"/>
          <w:color w:val="000000" w:themeColor="text1"/>
        </w:rPr>
        <w:t>oltz, A. Lodh and L. Materllini</w:t>
      </w:r>
      <w:r w:rsidRPr="00B3329E">
        <w:rPr>
          <w:rFonts w:ascii="Tahoma" w:hAnsi="Tahoma" w:cs="Tahoma"/>
          <w:color w:val="000000" w:themeColor="text1"/>
        </w:rPr>
        <w:t xml:space="preserve"> </w:t>
      </w:r>
      <w:r w:rsidR="00642EC4" w:rsidRPr="00B3329E">
        <w:rPr>
          <w:rFonts w:ascii="Tahoma" w:hAnsi="Tahoma" w:cs="Tahoma"/>
          <w:color w:val="000000" w:themeColor="text1"/>
        </w:rPr>
        <w:t xml:space="preserve">(2012), </w:t>
      </w:r>
      <w:r w:rsidRPr="00B3329E">
        <w:rPr>
          <w:rFonts w:ascii="Tahoma" w:hAnsi="Tahoma" w:cs="Tahoma"/>
          <w:color w:val="000000" w:themeColor="text1"/>
        </w:rPr>
        <w:t xml:space="preserve">“Diversifying the Diversifiers and Tracking the Tracking Error: </w:t>
      </w:r>
      <w:r w:rsidRPr="00B3329E">
        <w:rPr>
          <w:rFonts w:ascii="Tahoma" w:hAnsi="Tahoma" w:cs="Tahoma"/>
          <w:i/>
          <w:iCs/>
          <w:color w:val="000000" w:themeColor="text1"/>
        </w:rPr>
        <w:t>Outperforming</w:t>
      </w:r>
      <w:r w:rsidRPr="00B3329E">
        <w:rPr>
          <w:rFonts w:ascii="Tahoma" w:hAnsi="Tahoma" w:cs="Tahoma"/>
          <w:color w:val="000000" w:themeColor="text1"/>
        </w:rPr>
        <w:t xml:space="preserve"> </w:t>
      </w:r>
      <w:r w:rsidRPr="00B3329E">
        <w:rPr>
          <w:rFonts w:ascii="Tahoma" w:hAnsi="Tahoma" w:cs="Tahoma"/>
          <w:i/>
          <w:iCs/>
          <w:color w:val="000000" w:themeColor="text1"/>
        </w:rPr>
        <w:t>Cap-Weighted Indices with Limited</w:t>
      </w:r>
      <w:r w:rsidRPr="00B3329E">
        <w:rPr>
          <w:rFonts w:ascii="Tahoma" w:hAnsi="Tahoma" w:cs="Tahoma"/>
          <w:color w:val="000000" w:themeColor="text1"/>
        </w:rPr>
        <w:t xml:space="preserve"> </w:t>
      </w:r>
      <w:r w:rsidRPr="00B3329E">
        <w:rPr>
          <w:rFonts w:ascii="Tahoma" w:hAnsi="Tahoma" w:cs="Tahoma"/>
          <w:i/>
          <w:iCs/>
          <w:color w:val="000000" w:themeColor="text1"/>
        </w:rPr>
        <w:t>Risk of Underperformance”</w:t>
      </w:r>
      <w:r w:rsidR="00642EC4" w:rsidRPr="00B3329E">
        <w:rPr>
          <w:rFonts w:ascii="Tahoma" w:hAnsi="Tahoma" w:cs="Tahoma"/>
          <w:i/>
          <w:iCs/>
          <w:color w:val="000000" w:themeColor="text1"/>
        </w:rPr>
        <w:t xml:space="preserve">, </w:t>
      </w:r>
      <w:r w:rsidR="00642EC4" w:rsidRPr="00B3329E">
        <w:rPr>
          <w:rFonts w:ascii="Tahoma" w:hAnsi="Tahoma" w:cs="Tahoma"/>
          <w:iCs/>
          <w:color w:val="000000" w:themeColor="text1"/>
        </w:rPr>
        <w:t>The Jounral of Portfolio Management, Vol 38, No. 3, pp. 1-18</w:t>
      </w:r>
    </w:p>
    <w:p w:rsidR="00E565B6" w:rsidRPr="00B3329E" w:rsidRDefault="00E565B6" w:rsidP="00EA6483">
      <w:pPr>
        <w:spacing w:after="0"/>
        <w:rPr>
          <w:rFonts w:ascii="Tahoma" w:hAnsi="Tahoma" w:cs="Tahoma"/>
          <w:i/>
          <w:iCs/>
          <w:color w:val="000000" w:themeColor="text1"/>
        </w:rPr>
      </w:pPr>
    </w:p>
    <w:p w:rsidR="00E565B6" w:rsidRPr="00B3329E" w:rsidRDefault="00E565B6" w:rsidP="00EA6483">
      <w:pPr>
        <w:spacing w:after="0"/>
        <w:rPr>
          <w:rFonts w:ascii="Tahoma" w:hAnsi="Tahoma" w:cs="Tahoma"/>
          <w:color w:val="000000" w:themeColor="text1"/>
        </w:rPr>
      </w:pPr>
      <w:r w:rsidRPr="00B3329E">
        <w:rPr>
          <w:rFonts w:ascii="Tahoma" w:hAnsi="Tahoma" w:cs="Tahoma"/>
          <w:color w:val="000000" w:themeColor="text1"/>
        </w:rPr>
        <w:t>Asness, Israelov,and Liew (2011)</w:t>
      </w:r>
      <w:r w:rsidR="00642EC4" w:rsidRPr="00B3329E">
        <w:rPr>
          <w:rFonts w:ascii="Tahoma" w:hAnsi="Tahoma" w:cs="Tahoma"/>
          <w:color w:val="000000" w:themeColor="text1"/>
        </w:rPr>
        <w:t>, “International Diversification Works (Eventually)”, Financial Analysts Journal, Vol. 67, No. 3</w:t>
      </w:r>
    </w:p>
    <w:p w:rsidR="004C0B65" w:rsidRPr="00B3329E" w:rsidRDefault="004C0B65" w:rsidP="00EA6483">
      <w:pPr>
        <w:spacing w:after="0"/>
        <w:rPr>
          <w:rFonts w:ascii="Tahoma" w:hAnsi="Tahoma" w:cs="Tahoma"/>
          <w:color w:val="000000" w:themeColor="text1"/>
        </w:rPr>
      </w:pPr>
    </w:p>
    <w:p w:rsidR="00B17631" w:rsidRPr="00B3329E" w:rsidRDefault="00B17631" w:rsidP="00EA6483">
      <w:pPr>
        <w:spacing w:after="0"/>
        <w:rPr>
          <w:rFonts w:ascii="Tahoma" w:hAnsi="Tahoma" w:cs="Tahoma"/>
          <w:color w:val="000000" w:themeColor="text1"/>
        </w:rPr>
      </w:pPr>
      <w:r w:rsidRPr="00B3329E">
        <w:rPr>
          <w:rFonts w:ascii="Tahoma" w:hAnsi="Tahoma" w:cs="Tahoma"/>
          <w:color w:val="000000" w:themeColor="text1"/>
        </w:rPr>
        <w:t>R. Bianchi, G. Bornholt, M. Drew adn M. Howard (2014), “Long-term U.S. infrastructure returns and portfolio selection”, Journal of Banking &amp; Finance. Vol. 42, pp. 314–325</w:t>
      </w:r>
    </w:p>
    <w:p w:rsidR="005663A4" w:rsidRPr="00B3329E" w:rsidRDefault="005663A4" w:rsidP="00EA6483">
      <w:pPr>
        <w:spacing w:after="0"/>
        <w:rPr>
          <w:rFonts w:ascii="Tahoma" w:hAnsi="Tahoma" w:cs="Tahoma"/>
          <w:color w:val="000000" w:themeColor="text1"/>
        </w:rPr>
      </w:pPr>
    </w:p>
    <w:p w:rsidR="00954976" w:rsidRPr="00B3329E" w:rsidRDefault="00E9354D" w:rsidP="00EA6483">
      <w:pPr>
        <w:spacing w:after="0"/>
        <w:rPr>
          <w:rFonts w:ascii="Tahoma" w:hAnsi="Tahoma" w:cs="Tahoma"/>
          <w:color w:val="000000" w:themeColor="text1"/>
        </w:rPr>
      </w:pPr>
      <w:r w:rsidRPr="00B3329E">
        <w:rPr>
          <w:rFonts w:ascii="Tahoma" w:hAnsi="Tahoma" w:cs="Tahoma"/>
          <w:color w:val="000000" w:themeColor="text1"/>
        </w:rPr>
        <w:t>R. Bird, H. Liem and S. Thorp (2014), “Infrastructure: Real Assets and Real Returns”, European Financial Management Journal, Vol. 20, No. 4, pp. 802-824</w:t>
      </w:r>
    </w:p>
    <w:p w:rsidR="00E9354D" w:rsidRPr="00B3329E" w:rsidRDefault="00E9354D" w:rsidP="00EA6483">
      <w:pPr>
        <w:spacing w:after="0"/>
        <w:rPr>
          <w:rFonts w:ascii="Tahoma" w:hAnsi="Tahoma" w:cs="Tahoma"/>
          <w:color w:val="000000" w:themeColor="text1"/>
        </w:rPr>
      </w:pPr>
    </w:p>
    <w:p w:rsidR="001C0E8C" w:rsidRPr="00B3329E" w:rsidRDefault="001C0E8C" w:rsidP="00EA6483">
      <w:pPr>
        <w:spacing w:after="0"/>
        <w:rPr>
          <w:rFonts w:ascii="Tahoma" w:hAnsi="Tahoma" w:cs="Tahoma"/>
          <w:color w:val="000000" w:themeColor="text1"/>
        </w:rPr>
      </w:pPr>
      <w:r w:rsidRPr="00B3329E">
        <w:rPr>
          <w:rFonts w:ascii="Tahoma" w:hAnsi="Tahoma" w:cs="Tahoma"/>
          <w:color w:val="000000" w:themeColor="text1"/>
        </w:rPr>
        <w:t>F. Blanc-Brude, M. Hasan, Q. Wag, T. Whittaker (2016), Is Infrastructure different?  Evidence from 15 years of cash flow data, EDHEC Infrastructure Institute</w:t>
      </w:r>
    </w:p>
    <w:p w:rsidR="008B264A" w:rsidRPr="00B3329E" w:rsidRDefault="008B264A" w:rsidP="00EA6483">
      <w:pPr>
        <w:spacing w:after="0"/>
        <w:rPr>
          <w:rFonts w:ascii="Tahoma" w:hAnsi="Tahoma" w:cs="Tahoma"/>
          <w:color w:val="000000" w:themeColor="text1"/>
        </w:rPr>
      </w:pPr>
    </w:p>
    <w:p w:rsidR="00B17631" w:rsidRPr="00B3329E" w:rsidRDefault="00B17631" w:rsidP="00EA6483">
      <w:pPr>
        <w:spacing w:after="0"/>
        <w:rPr>
          <w:rFonts w:ascii="Tahoma" w:hAnsi="Tahoma" w:cs="Tahoma"/>
          <w:color w:val="000000" w:themeColor="text1"/>
        </w:rPr>
      </w:pPr>
      <w:r w:rsidRPr="00B3329E">
        <w:rPr>
          <w:rFonts w:ascii="Tahoma" w:hAnsi="Tahoma" w:cs="Tahoma"/>
          <w:color w:val="000000" w:themeColor="text1"/>
        </w:rPr>
        <w:t>H. Chen, N. Jegadeesh, and R. Wermers (2000), “The Value of Active Mutual Fund Management: An Examination of the Stockholdings and Trades of Fund Managers” , Journal of Financial and Quantitative Analysis, Vol. 35, No. 3</w:t>
      </w:r>
    </w:p>
    <w:p w:rsidR="00B17631" w:rsidRPr="00B3329E" w:rsidRDefault="00B17631" w:rsidP="00EA6483">
      <w:pPr>
        <w:spacing w:after="0"/>
        <w:rPr>
          <w:rFonts w:ascii="Tahoma" w:hAnsi="Tahoma" w:cs="Tahoma"/>
          <w:color w:val="000000" w:themeColor="text1"/>
        </w:rPr>
      </w:pPr>
    </w:p>
    <w:p w:rsidR="00EA6483" w:rsidRPr="00B3329E" w:rsidRDefault="00D10088" w:rsidP="00EA6483">
      <w:pPr>
        <w:spacing w:after="0" w:line="240" w:lineRule="auto"/>
        <w:rPr>
          <w:rFonts w:ascii="Tahoma" w:hAnsi="Tahoma" w:cs="Tahoma"/>
          <w:color w:val="000000" w:themeColor="text1"/>
        </w:rPr>
      </w:pPr>
      <w:r w:rsidRPr="00B3329E">
        <w:rPr>
          <w:rFonts w:ascii="Tahoma" w:hAnsi="Tahoma" w:cs="Tahoma"/>
          <w:color w:val="000000" w:themeColor="text1"/>
        </w:rPr>
        <w:t xml:space="preserve">J. Chevalier and G. </w:t>
      </w:r>
      <w:r w:rsidR="00B17631" w:rsidRPr="00B3329E">
        <w:rPr>
          <w:rFonts w:ascii="Tahoma" w:hAnsi="Tahoma" w:cs="Tahoma"/>
          <w:color w:val="000000" w:themeColor="text1"/>
        </w:rPr>
        <w:t>Ellison (1997), “Risk taking by mutual fund as a response to incentives”, Journal of Poli</w:t>
      </w:r>
      <w:r w:rsidR="007F2105" w:rsidRPr="00B3329E">
        <w:rPr>
          <w:rFonts w:ascii="Tahoma" w:hAnsi="Tahoma" w:cs="Tahoma"/>
          <w:color w:val="000000" w:themeColor="text1"/>
        </w:rPr>
        <w:t>tical Economy, Vol. 105, No. 6.</w:t>
      </w:r>
    </w:p>
    <w:p w:rsidR="00EA6483" w:rsidRPr="00B3329E" w:rsidRDefault="00EA6483" w:rsidP="00EA6483">
      <w:pPr>
        <w:spacing w:after="0" w:line="240" w:lineRule="auto"/>
        <w:rPr>
          <w:rFonts w:ascii="Tahoma" w:hAnsi="Tahoma" w:cs="Tahoma"/>
          <w:color w:val="000000" w:themeColor="text1"/>
        </w:rPr>
      </w:pPr>
    </w:p>
    <w:p w:rsidR="00D771A8" w:rsidRPr="00B3329E" w:rsidRDefault="005663A4" w:rsidP="00D771A8">
      <w:pPr>
        <w:spacing w:after="0" w:line="240" w:lineRule="auto"/>
        <w:rPr>
          <w:rFonts w:ascii="Tahoma" w:hAnsi="Tahoma" w:cs="Tahoma"/>
          <w:color w:val="000000" w:themeColor="text1"/>
        </w:rPr>
      </w:pPr>
      <w:r w:rsidRPr="00B3329E">
        <w:rPr>
          <w:rFonts w:ascii="Tahoma" w:hAnsi="Tahoma" w:cs="Tahoma"/>
          <w:color w:val="000000" w:themeColor="text1"/>
        </w:rPr>
        <w:t>Z. Da</w:t>
      </w:r>
      <w:r w:rsidR="00435C64" w:rsidRPr="00B3329E">
        <w:rPr>
          <w:rFonts w:ascii="Tahoma" w:hAnsi="Tahoma" w:cs="Tahoma"/>
          <w:color w:val="000000" w:themeColor="text1"/>
        </w:rPr>
        <w:t xml:space="preserve"> and S. Shive (2018), “Exchange-Traded Funds and Equity Return Correlations”, European Financial Management Journal, </w:t>
      </w:r>
      <w:hyperlink r:id="rId21" w:history="1">
        <w:r w:rsidR="00435C64" w:rsidRPr="00B3329E">
          <w:rPr>
            <w:rStyle w:val="a4"/>
            <w:rFonts w:ascii="Tahoma" w:hAnsi="Tahoma" w:cs="Tahoma"/>
            <w:bCs/>
            <w:color w:val="000000" w:themeColor="text1"/>
            <w:u w:val="none"/>
          </w:rPr>
          <w:t>Volume</w:t>
        </w:r>
        <w:r w:rsidR="00435C64" w:rsidRPr="00B3329E">
          <w:rPr>
            <w:rStyle w:val="val"/>
            <w:rFonts w:ascii="Tahoma" w:hAnsi="Tahoma" w:cs="Tahoma"/>
            <w:bCs/>
            <w:color w:val="000000" w:themeColor="text1"/>
          </w:rPr>
          <w:t>24</w:t>
        </w:r>
        <w:r w:rsidR="00435C64" w:rsidRPr="00B3329E">
          <w:rPr>
            <w:rStyle w:val="a4"/>
            <w:rFonts w:ascii="Tahoma" w:hAnsi="Tahoma" w:cs="Tahoma"/>
            <w:bCs/>
            <w:color w:val="000000" w:themeColor="text1"/>
            <w:u w:val="none"/>
          </w:rPr>
          <w:t>, Issue</w:t>
        </w:r>
        <w:r w:rsidR="00435C64" w:rsidRPr="00B3329E">
          <w:rPr>
            <w:rStyle w:val="val"/>
            <w:rFonts w:ascii="Tahoma" w:hAnsi="Tahoma" w:cs="Tahoma"/>
            <w:bCs/>
            <w:color w:val="000000" w:themeColor="text1"/>
          </w:rPr>
          <w:t>1</w:t>
        </w:r>
      </w:hyperlink>
      <w:r w:rsidR="00435C64" w:rsidRPr="00B3329E">
        <w:rPr>
          <w:rFonts w:ascii="Tahoma" w:hAnsi="Tahoma" w:cs="Tahoma"/>
          <w:bCs/>
          <w:color w:val="000000" w:themeColor="text1"/>
        </w:rPr>
        <w:t xml:space="preserve">, </w:t>
      </w:r>
      <w:r w:rsidR="00435C64" w:rsidRPr="00B3329E">
        <w:rPr>
          <w:rFonts w:ascii="Tahoma" w:hAnsi="Tahoma" w:cs="Tahoma"/>
          <w:color w:val="000000" w:themeColor="text1"/>
        </w:rPr>
        <w:t>pp. 136-168</w:t>
      </w:r>
    </w:p>
    <w:p w:rsidR="00D771A8" w:rsidRPr="00B3329E" w:rsidRDefault="00D771A8" w:rsidP="00D771A8">
      <w:pPr>
        <w:spacing w:after="0" w:line="240" w:lineRule="auto"/>
        <w:rPr>
          <w:rFonts w:ascii="Tahoma" w:hAnsi="Tahoma" w:cs="Tahoma"/>
          <w:color w:val="000000" w:themeColor="text1"/>
        </w:rPr>
      </w:pPr>
    </w:p>
    <w:p w:rsidR="00B17631" w:rsidRPr="00B3329E" w:rsidRDefault="00B17631" w:rsidP="00D771A8">
      <w:pPr>
        <w:spacing w:after="0" w:line="240" w:lineRule="auto"/>
        <w:rPr>
          <w:rFonts w:ascii="Tahoma" w:hAnsi="Tahoma" w:cs="Tahoma"/>
          <w:color w:val="000000" w:themeColor="text1"/>
        </w:rPr>
      </w:pPr>
      <w:r w:rsidRPr="00B3329E">
        <w:rPr>
          <w:rFonts w:ascii="Tahoma" w:hAnsi="Tahoma" w:cs="Tahoma"/>
          <w:color w:val="000000" w:themeColor="text1"/>
        </w:rPr>
        <w:t>T. Dechant, K. Finkenzeller and W. Schäfers, (2010) "Infrastructure: a new dimension of real estate? An asset allocation analysis", Journal of Property Investment &amp; Financ</w:t>
      </w:r>
      <w:r w:rsidR="00E565B6" w:rsidRPr="00B3329E">
        <w:rPr>
          <w:rFonts w:ascii="Tahoma" w:hAnsi="Tahoma" w:cs="Tahoma"/>
          <w:color w:val="000000" w:themeColor="text1"/>
        </w:rPr>
        <w:t>e, Vol. 28 Issue: 4, pp.263-274</w:t>
      </w:r>
    </w:p>
    <w:p w:rsidR="00B17631" w:rsidRPr="00B3329E" w:rsidRDefault="00B17631" w:rsidP="00EA6483">
      <w:pPr>
        <w:spacing w:after="0"/>
        <w:rPr>
          <w:rFonts w:ascii="Tahoma" w:hAnsi="Tahoma" w:cs="Tahoma"/>
          <w:color w:val="000000" w:themeColor="text1"/>
        </w:rPr>
      </w:pPr>
    </w:p>
    <w:p w:rsidR="00D12715" w:rsidRPr="00B3329E" w:rsidRDefault="00D12715" w:rsidP="00EA6483">
      <w:pPr>
        <w:spacing w:after="0"/>
        <w:rPr>
          <w:rFonts w:ascii="Tahoma" w:hAnsi="Tahoma" w:cs="Tahoma"/>
          <w:color w:val="000000" w:themeColor="text1"/>
        </w:rPr>
      </w:pPr>
      <w:r w:rsidRPr="00B3329E">
        <w:rPr>
          <w:rFonts w:ascii="Tahoma" w:hAnsi="Tahoma" w:cs="Tahoma"/>
          <w:color w:val="000000" w:themeColor="text1"/>
        </w:rPr>
        <w:t>EDHEC (2016), Towards Better Infrastructure Investment Products – A Survey on investor’s perceptions and expectations from investing in infrastructure, EDHEC</w:t>
      </w:r>
      <w:r w:rsidR="00153E72" w:rsidRPr="00B3329E">
        <w:rPr>
          <w:rFonts w:ascii="Tahoma" w:hAnsi="Tahoma" w:cs="Tahoma"/>
          <w:color w:val="000000" w:themeColor="text1"/>
        </w:rPr>
        <w:t xml:space="preserve"> Infrastructure Institute</w:t>
      </w:r>
    </w:p>
    <w:p w:rsidR="008B264A" w:rsidRPr="00B3329E" w:rsidRDefault="008B264A" w:rsidP="00EA6483">
      <w:pPr>
        <w:spacing w:after="0"/>
        <w:rPr>
          <w:rFonts w:ascii="Tahoma" w:hAnsi="Tahoma" w:cs="Tahoma"/>
          <w:color w:val="000000" w:themeColor="text1"/>
        </w:rPr>
      </w:pPr>
    </w:p>
    <w:p w:rsidR="00C30869" w:rsidRPr="00B3329E" w:rsidRDefault="00C30869" w:rsidP="00EA6483">
      <w:pPr>
        <w:spacing w:after="0"/>
        <w:rPr>
          <w:rFonts w:ascii="Tahoma" w:hAnsi="Tahoma" w:cs="Tahoma"/>
          <w:color w:val="000000" w:themeColor="text1"/>
        </w:rPr>
      </w:pPr>
      <w:r w:rsidRPr="00B3329E">
        <w:rPr>
          <w:rFonts w:ascii="Tahoma" w:hAnsi="Tahoma" w:cs="Tahoma"/>
          <w:color w:val="000000" w:themeColor="text1"/>
        </w:rPr>
        <w:t>E. Fama (1998), “Market efficiency, long-term returns and behavioural finance”, Journal of Financial Ec</w:t>
      </w:r>
      <w:r w:rsidR="00D95816" w:rsidRPr="00B3329E">
        <w:rPr>
          <w:rFonts w:ascii="Tahoma" w:hAnsi="Tahoma" w:cs="Tahoma"/>
          <w:color w:val="000000" w:themeColor="text1"/>
        </w:rPr>
        <w:t>onomics, Vol. 49, pp. 283-306</w:t>
      </w:r>
    </w:p>
    <w:p w:rsidR="007F2105" w:rsidRPr="00B3329E" w:rsidRDefault="007F2105" w:rsidP="00EA6483">
      <w:pPr>
        <w:spacing w:after="0"/>
        <w:rPr>
          <w:rFonts w:ascii="Tahoma" w:hAnsi="Tahoma" w:cs="Tahoma"/>
          <w:color w:val="000000" w:themeColor="text1"/>
        </w:rPr>
      </w:pPr>
    </w:p>
    <w:p w:rsidR="008B264A" w:rsidRPr="00B3329E" w:rsidRDefault="008B264A" w:rsidP="00EA6483">
      <w:pPr>
        <w:spacing w:after="0"/>
        <w:rPr>
          <w:rFonts w:ascii="Tahoma" w:hAnsi="Tahoma" w:cs="Tahoma"/>
          <w:color w:val="000000" w:themeColor="text1"/>
        </w:rPr>
      </w:pPr>
      <w:r w:rsidRPr="00B3329E">
        <w:rPr>
          <w:rFonts w:ascii="Tahoma" w:hAnsi="Tahoma" w:cs="Tahoma"/>
          <w:color w:val="000000" w:themeColor="text1"/>
        </w:rPr>
        <w:t>E. Fama and K. French (1993), “Common risk factors in the returns on stocks and bonds”, Journal of Financial Economics, Vol. 33, No. 1, pp. 3-56</w:t>
      </w:r>
    </w:p>
    <w:p w:rsidR="007F2105" w:rsidRPr="00B3329E" w:rsidRDefault="007F2105" w:rsidP="00EA6483">
      <w:pPr>
        <w:spacing w:after="0"/>
        <w:rPr>
          <w:rFonts w:ascii="Tahoma" w:hAnsi="Tahoma" w:cs="Tahoma"/>
          <w:color w:val="000000" w:themeColor="text1"/>
        </w:rPr>
      </w:pPr>
    </w:p>
    <w:p w:rsidR="00B17631" w:rsidRPr="00B3329E" w:rsidRDefault="00D10088" w:rsidP="00EA6483">
      <w:pPr>
        <w:spacing w:after="0"/>
        <w:rPr>
          <w:rFonts w:ascii="Tahoma" w:hAnsi="Tahoma" w:cs="Tahoma"/>
          <w:color w:val="000000" w:themeColor="text1"/>
        </w:rPr>
      </w:pPr>
      <w:r w:rsidRPr="00B3329E">
        <w:rPr>
          <w:rFonts w:ascii="Tahoma" w:hAnsi="Tahoma" w:cs="Tahoma"/>
          <w:color w:val="000000" w:themeColor="text1"/>
        </w:rPr>
        <w:t>R. Grinold (</w:t>
      </w:r>
      <w:r w:rsidR="00550685" w:rsidRPr="00B3329E">
        <w:rPr>
          <w:rFonts w:ascii="Tahoma" w:hAnsi="Tahoma" w:cs="Tahoma"/>
          <w:color w:val="000000" w:themeColor="text1"/>
        </w:rPr>
        <w:t>199</w:t>
      </w:r>
      <w:r w:rsidRPr="00B3329E">
        <w:rPr>
          <w:rFonts w:ascii="Tahoma" w:hAnsi="Tahoma" w:cs="Tahoma"/>
          <w:color w:val="000000" w:themeColor="text1"/>
        </w:rPr>
        <w:t>2), “Are Benchmark Portfolio’s Efficient?”, The Journal of Portfolio Management, Vol. 19, No. 1, pp. 34-40</w:t>
      </w:r>
    </w:p>
    <w:p w:rsidR="00D771A8" w:rsidRPr="00B3329E" w:rsidRDefault="00D771A8" w:rsidP="00D771A8">
      <w:pPr>
        <w:spacing w:after="0"/>
        <w:rPr>
          <w:rFonts w:ascii="Tahoma" w:hAnsi="Tahoma" w:cs="Tahoma"/>
          <w:color w:val="000000" w:themeColor="text1"/>
        </w:rPr>
      </w:pPr>
    </w:p>
    <w:p w:rsidR="007737ED" w:rsidRPr="00B3329E" w:rsidRDefault="007737ED" w:rsidP="007737ED">
      <w:pPr>
        <w:autoSpaceDE w:val="0"/>
        <w:autoSpaceDN w:val="0"/>
        <w:adjustRightInd w:val="0"/>
        <w:spacing w:after="0" w:line="240" w:lineRule="auto"/>
        <w:rPr>
          <w:rFonts w:ascii="Tahoma" w:hAnsi="Tahoma" w:cs="Tahoma"/>
          <w:color w:val="000000" w:themeColor="text1"/>
        </w:rPr>
      </w:pPr>
      <w:r w:rsidRPr="00B3329E">
        <w:rPr>
          <w:rFonts w:ascii="Tahoma" w:hAnsi="Tahoma" w:cs="Tahoma"/>
          <w:color w:val="000000" w:themeColor="text1"/>
        </w:rPr>
        <w:t>J. Hall, J. Henriques, A. Hickford and R. Nicholls (2014), “Assessing the long-term performance of cross sectoral strategies for national infrastructure”, Journal of Infrastructure Systems, Vol. 20, No. 3</w:t>
      </w:r>
    </w:p>
    <w:p w:rsidR="007737ED" w:rsidRPr="00B3329E" w:rsidRDefault="007737ED" w:rsidP="00D771A8">
      <w:pPr>
        <w:spacing w:after="0"/>
        <w:rPr>
          <w:rFonts w:ascii="Tahoma" w:hAnsi="Tahoma" w:cs="Tahoma"/>
          <w:color w:val="000000" w:themeColor="text1"/>
        </w:rPr>
      </w:pPr>
    </w:p>
    <w:p w:rsidR="00D771A8" w:rsidRPr="00B3329E" w:rsidRDefault="00D771A8" w:rsidP="00D771A8">
      <w:pPr>
        <w:spacing w:after="0"/>
        <w:rPr>
          <w:rFonts w:ascii="Tahoma" w:hAnsi="Tahoma" w:cs="Tahoma"/>
          <w:color w:val="000000" w:themeColor="text1"/>
        </w:rPr>
      </w:pPr>
      <w:r w:rsidRPr="00B3329E">
        <w:rPr>
          <w:rFonts w:ascii="Tahoma" w:hAnsi="Tahoma" w:cs="Tahoma"/>
          <w:color w:val="000000" w:themeColor="text1"/>
        </w:rPr>
        <w:lastRenderedPageBreak/>
        <w:t>S. Heston, K. Rouwenhorst, (1995), “Does industrial structure explain the benefits of international diversification?”, Journal of Financial Economics, Vol. 36, pp. 3-27</w:t>
      </w:r>
    </w:p>
    <w:p w:rsidR="00D10088" w:rsidRPr="00B3329E" w:rsidRDefault="00D10088" w:rsidP="00EA6483">
      <w:pPr>
        <w:spacing w:after="0"/>
        <w:rPr>
          <w:rFonts w:ascii="Tahoma" w:hAnsi="Tahoma" w:cs="Tahoma"/>
          <w:color w:val="000000" w:themeColor="text1"/>
        </w:rPr>
      </w:pPr>
    </w:p>
    <w:p w:rsidR="00A00BD2" w:rsidRPr="00B3329E" w:rsidRDefault="00A00BD2" w:rsidP="00EA6483">
      <w:pPr>
        <w:spacing w:after="0"/>
        <w:rPr>
          <w:rFonts w:ascii="Tahoma" w:hAnsi="Tahoma" w:cs="Tahoma"/>
          <w:color w:val="000000" w:themeColor="text1"/>
        </w:rPr>
      </w:pPr>
      <w:r w:rsidRPr="00B3329E">
        <w:rPr>
          <w:rFonts w:ascii="Tahoma" w:hAnsi="Tahoma" w:cs="Tahoma"/>
          <w:color w:val="000000" w:themeColor="text1"/>
        </w:rPr>
        <w:t>D. Hinkle, S. Jurs and W. Wiersma (</w:t>
      </w:r>
      <w:r w:rsidR="009A79F3" w:rsidRPr="00B3329E">
        <w:rPr>
          <w:rFonts w:ascii="Tahoma" w:hAnsi="Tahoma" w:cs="Tahoma"/>
          <w:color w:val="000000" w:themeColor="text1"/>
        </w:rPr>
        <w:t>200</w:t>
      </w:r>
      <w:r w:rsidR="00D10088" w:rsidRPr="00B3329E">
        <w:rPr>
          <w:rFonts w:ascii="Tahoma" w:hAnsi="Tahoma" w:cs="Tahoma"/>
          <w:color w:val="000000" w:themeColor="text1"/>
        </w:rPr>
        <w:t>3), Applied Statistics for the B</w:t>
      </w:r>
      <w:r w:rsidR="009A79F3" w:rsidRPr="00B3329E">
        <w:rPr>
          <w:rFonts w:ascii="Tahoma" w:hAnsi="Tahoma" w:cs="Tahoma"/>
          <w:color w:val="000000" w:themeColor="text1"/>
        </w:rPr>
        <w:t xml:space="preserve">ehavioural </w:t>
      </w:r>
      <w:r w:rsidR="00D10088" w:rsidRPr="00B3329E">
        <w:rPr>
          <w:rFonts w:ascii="Tahoma" w:hAnsi="Tahoma" w:cs="Tahoma"/>
          <w:color w:val="000000" w:themeColor="text1"/>
        </w:rPr>
        <w:t>S</w:t>
      </w:r>
      <w:r w:rsidR="009A79F3" w:rsidRPr="00B3329E">
        <w:rPr>
          <w:rFonts w:ascii="Tahoma" w:hAnsi="Tahoma" w:cs="Tahoma"/>
          <w:color w:val="000000" w:themeColor="text1"/>
        </w:rPr>
        <w:t xml:space="preserve">ciences, </w:t>
      </w:r>
      <w:r w:rsidR="009A79F3" w:rsidRPr="00B3329E">
        <w:rPr>
          <w:rFonts w:ascii="Tahoma" w:hAnsi="Tahoma" w:cs="Tahoma"/>
          <w:color w:val="000000" w:themeColor="text1"/>
          <w:shd w:val="clear" w:color="auto" w:fill="FFFFFF"/>
        </w:rPr>
        <w:t>Houghton Mifflin</w:t>
      </w:r>
      <w:r w:rsidR="00E9354D" w:rsidRPr="00B3329E">
        <w:rPr>
          <w:rFonts w:ascii="Tahoma" w:hAnsi="Tahoma" w:cs="Tahoma"/>
          <w:color w:val="000000" w:themeColor="text1"/>
        </w:rPr>
        <w:t>, Boston, MA, US</w:t>
      </w:r>
    </w:p>
    <w:p w:rsidR="004C0B65" w:rsidRPr="00B3329E" w:rsidRDefault="004C0B65" w:rsidP="00EA6483">
      <w:pPr>
        <w:spacing w:after="0"/>
        <w:rPr>
          <w:rFonts w:ascii="Tahoma" w:hAnsi="Tahoma" w:cs="Tahoma"/>
          <w:iCs/>
          <w:color w:val="000000" w:themeColor="text1"/>
        </w:rPr>
      </w:pPr>
    </w:p>
    <w:p w:rsidR="004C0B65" w:rsidRPr="00B3329E" w:rsidRDefault="004C0B65" w:rsidP="00EA6483">
      <w:pPr>
        <w:spacing w:after="0"/>
        <w:rPr>
          <w:rFonts w:ascii="Tahoma" w:hAnsi="Tahoma" w:cs="Tahoma"/>
          <w:color w:val="000000" w:themeColor="text1"/>
        </w:rPr>
      </w:pPr>
      <w:r w:rsidRPr="00B3329E">
        <w:rPr>
          <w:rFonts w:ascii="Tahoma" w:hAnsi="Tahoma" w:cs="Tahoma"/>
          <w:color w:val="000000" w:themeColor="text1"/>
        </w:rPr>
        <w:t xml:space="preserve">T. Idzorek </w:t>
      </w:r>
      <w:r w:rsidR="00D10088" w:rsidRPr="00B3329E">
        <w:rPr>
          <w:rFonts w:ascii="Tahoma" w:hAnsi="Tahoma" w:cs="Tahoma"/>
          <w:color w:val="000000" w:themeColor="text1"/>
        </w:rPr>
        <w:t xml:space="preserve"> and</w:t>
      </w:r>
      <w:r w:rsidRPr="00B3329E">
        <w:rPr>
          <w:rFonts w:ascii="Tahoma" w:hAnsi="Tahoma" w:cs="Tahoma"/>
          <w:color w:val="000000" w:themeColor="text1"/>
        </w:rPr>
        <w:t xml:space="preserve"> C. Armstrong (2009)</w:t>
      </w:r>
      <w:r w:rsidR="00B17631" w:rsidRPr="00B3329E">
        <w:rPr>
          <w:rFonts w:ascii="Tahoma" w:hAnsi="Tahoma" w:cs="Tahoma"/>
          <w:color w:val="000000" w:themeColor="text1"/>
        </w:rPr>
        <w:t>,</w:t>
      </w:r>
      <w:r w:rsidRPr="00B3329E">
        <w:rPr>
          <w:rFonts w:ascii="Tahoma" w:hAnsi="Tahoma" w:cs="Tahoma"/>
          <w:color w:val="000000" w:themeColor="text1"/>
        </w:rPr>
        <w:t xml:space="preserve"> “Infrastructure and Strategic Asset Allocation: Is I</w:t>
      </w:r>
      <w:r w:rsidR="00B17631" w:rsidRPr="00B3329E">
        <w:rPr>
          <w:rFonts w:ascii="Tahoma" w:hAnsi="Tahoma" w:cs="Tahoma"/>
          <w:color w:val="000000" w:themeColor="text1"/>
        </w:rPr>
        <w:t xml:space="preserve">nfrastructure an Asset Class?”, </w:t>
      </w:r>
      <w:r w:rsidRPr="00B3329E">
        <w:rPr>
          <w:rFonts w:ascii="Tahoma" w:hAnsi="Tahoma" w:cs="Tahoma"/>
          <w:color w:val="000000" w:themeColor="text1"/>
        </w:rPr>
        <w:t>[https://corporate.morningstar.com/ib/documents/MethodologyDocuments/IBBAssociates/Infrastructure_SAA.pdf], accessed on 03/12/2017</w:t>
      </w:r>
    </w:p>
    <w:p w:rsidR="00B17631" w:rsidRPr="00B3329E" w:rsidRDefault="00B17631" w:rsidP="00EA6483">
      <w:pPr>
        <w:spacing w:after="0"/>
        <w:rPr>
          <w:rFonts w:ascii="Tahoma" w:hAnsi="Tahoma" w:cs="Tahoma"/>
          <w:color w:val="000000" w:themeColor="text1"/>
        </w:rPr>
      </w:pPr>
    </w:p>
    <w:p w:rsidR="00556798" w:rsidRPr="00B3329E" w:rsidRDefault="00B17631" w:rsidP="00EA6483">
      <w:pPr>
        <w:spacing w:after="0"/>
        <w:rPr>
          <w:rFonts w:ascii="Tahoma" w:hAnsi="Tahoma" w:cs="Tahoma"/>
          <w:color w:val="000000" w:themeColor="text1"/>
        </w:rPr>
      </w:pPr>
      <w:r w:rsidRPr="00B3329E">
        <w:rPr>
          <w:rFonts w:ascii="Tahoma" w:hAnsi="Tahoma" w:cs="Tahoma"/>
          <w:color w:val="000000" w:themeColor="text1"/>
        </w:rPr>
        <w:t xml:space="preserve">G. Inderst </w:t>
      </w:r>
      <w:r w:rsidR="00556798" w:rsidRPr="00B3329E">
        <w:rPr>
          <w:rFonts w:ascii="Tahoma" w:hAnsi="Tahoma" w:cs="Tahoma"/>
          <w:color w:val="000000" w:themeColor="text1"/>
        </w:rPr>
        <w:t xml:space="preserve">(2009), "Pension Fund Investment in Infrastructure", OECD </w:t>
      </w:r>
      <w:r w:rsidRPr="00B3329E">
        <w:rPr>
          <w:rFonts w:ascii="Tahoma" w:hAnsi="Tahoma" w:cs="Tahoma"/>
          <w:color w:val="000000" w:themeColor="text1"/>
        </w:rPr>
        <w:t>Working Papers on Insurance and</w:t>
      </w:r>
      <w:r w:rsidR="00556798" w:rsidRPr="00B3329E">
        <w:rPr>
          <w:rFonts w:ascii="Tahoma" w:hAnsi="Tahoma" w:cs="Tahoma"/>
          <w:color w:val="000000" w:themeColor="text1"/>
        </w:rPr>
        <w:t xml:space="preserve"> Private Pensions, No. 32</w:t>
      </w:r>
    </w:p>
    <w:p w:rsidR="00E565B6" w:rsidRPr="00B3329E" w:rsidRDefault="00E565B6" w:rsidP="00EA6483">
      <w:pPr>
        <w:spacing w:after="0"/>
        <w:rPr>
          <w:rFonts w:ascii="Tahoma" w:hAnsi="Tahoma" w:cs="Tahoma"/>
          <w:iCs/>
          <w:color w:val="000000" w:themeColor="text1"/>
        </w:rPr>
      </w:pPr>
    </w:p>
    <w:p w:rsidR="00E565B6" w:rsidRPr="00B3329E" w:rsidRDefault="00E565B6" w:rsidP="00EA6483">
      <w:pPr>
        <w:spacing w:after="0"/>
        <w:rPr>
          <w:rFonts w:ascii="Tahoma" w:hAnsi="Tahoma" w:cs="Tahoma"/>
          <w:color w:val="000000" w:themeColor="text1"/>
        </w:rPr>
      </w:pPr>
      <w:r w:rsidRPr="00B3329E">
        <w:rPr>
          <w:rFonts w:ascii="Tahoma" w:hAnsi="Tahoma" w:cs="Tahoma"/>
          <w:color w:val="000000" w:themeColor="text1"/>
        </w:rPr>
        <w:t>P. Kaplan (</w:t>
      </w:r>
      <w:r w:rsidR="00E9354D" w:rsidRPr="00B3329E">
        <w:rPr>
          <w:rFonts w:ascii="Tahoma" w:hAnsi="Tahoma" w:cs="Tahoma"/>
          <w:color w:val="000000" w:themeColor="text1"/>
        </w:rPr>
        <w:t>2008</w:t>
      </w:r>
      <w:r w:rsidRPr="00B3329E">
        <w:rPr>
          <w:rFonts w:ascii="Tahoma" w:hAnsi="Tahoma" w:cs="Tahoma"/>
          <w:color w:val="000000" w:themeColor="text1"/>
        </w:rPr>
        <w:t>), “</w:t>
      </w:r>
      <w:r w:rsidRPr="00B3329E">
        <w:rPr>
          <w:rFonts w:ascii="Tahoma" w:hAnsi="Tahoma" w:cs="Tahoma"/>
          <w:bCs/>
          <w:color w:val="000000" w:themeColor="text1"/>
        </w:rPr>
        <w:t xml:space="preserve">Why Fundamental Indexation Might—or Might Not—Work”, </w:t>
      </w:r>
      <w:r w:rsidRPr="00B3329E">
        <w:rPr>
          <w:rFonts w:ascii="Tahoma" w:hAnsi="Tahoma" w:cs="Tahoma"/>
          <w:color w:val="000000" w:themeColor="text1"/>
        </w:rPr>
        <w:t>Financial Analysts Journal, Vol. 64, No. 1</w:t>
      </w:r>
    </w:p>
    <w:p w:rsidR="00556798" w:rsidRPr="00B3329E" w:rsidRDefault="00556798" w:rsidP="00EA6483">
      <w:pPr>
        <w:spacing w:after="0"/>
        <w:rPr>
          <w:rFonts w:ascii="Tahoma" w:hAnsi="Tahoma" w:cs="Tahoma"/>
          <w:color w:val="000000" w:themeColor="text1"/>
        </w:rPr>
      </w:pPr>
    </w:p>
    <w:p w:rsidR="00E565B6" w:rsidRPr="00B3329E" w:rsidRDefault="00182D1F" w:rsidP="00EA6483">
      <w:pPr>
        <w:spacing w:after="0"/>
        <w:rPr>
          <w:rFonts w:ascii="Tahoma" w:hAnsi="Tahoma" w:cs="Tahoma"/>
          <w:color w:val="000000" w:themeColor="text1"/>
        </w:rPr>
      </w:pPr>
      <w:r w:rsidRPr="00B3329E">
        <w:rPr>
          <w:rFonts w:ascii="Tahoma" w:hAnsi="Tahoma" w:cs="Tahoma"/>
          <w:color w:val="000000" w:themeColor="text1"/>
        </w:rPr>
        <w:t>J. Lin (2013), “On the Diversity Constraints for Portfolio Optimisation”, Entropy, Vol. 15</w:t>
      </w:r>
    </w:p>
    <w:p w:rsidR="00E9354D" w:rsidRPr="00B3329E" w:rsidRDefault="00E9354D" w:rsidP="00EA6483">
      <w:pPr>
        <w:spacing w:after="0"/>
        <w:rPr>
          <w:rFonts w:ascii="Tahoma" w:hAnsi="Tahoma" w:cs="Tahoma"/>
          <w:color w:val="000000" w:themeColor="text1"/>
        </w:rPr>
      </w:pPr>
    </w:p>
    <w:p w:rsidR="00B17631" w:rsidRPr="00B3329E" w:rsidRDefault="00B17631" w:rsidP="00EA6483">
      <w:pPr>
        <w:spacing w:after="0"/>
        <w:rPr>
          <w:rFonts w:ascii="Tahoma" w:hAnsi="Tahoma" w:cs="Tahoma"/>
          <w:color w:val="000000" w:themeColor="text1"/>
        </w:rPr>
      </w:pPr>
      <w:r w:rsidRPr="00B3329E">
        <w:rPr>
          <w:rFonts w:ascii="Tahoma" w:hAnsi="Tahoma" w:cs="Tahoma"/>
          <w:color w:val="000000" w:themeColor="text1"/>
        </w:rPr>
        <w:t>G. Meric, I. Meric and M. Ratner (2008), “Co-movements of sector index returns in the world's major stock markets in bull and bear markets: Portfolio diversification implications”, International Review of Financial Analysis, Vol. 17, pp. 156–177</w:t>
      </w:r>
    </w:p>
    <w:p w:rsidR="00E9354D" w:rsidRPr="00B3329E" w:rsidRDefault="00E9354D" w:rsidP="00EA6483">
      <w:pPr>
        <w:spacing w:after="0"/>
        <w:rPr>
          <w:rFonts w:ascii="Tahoma" w:hAnsi="Tahoma" w:cs="Tahoma"/>
          <w:color w:val="000000" w:themeColor="text1"/>
        </w:rPr>
      </w:pPr>
    </w:p>
    <w:p w:rsidR="00D771A8" w:rsidRPr="00B3329E" w:rsidRDefault="00D771A8" w:rsidP="00EA6483">
      <w:pPr>
        <w:spacing w:after="0"/>
        <w:rPr>
          <w:rFonts w:ascii="Tahoma" w:hAnsi="Tahoma" w:cs="Tahoma"/>
          <w:color w:val="000000" w:themeColor="text1"/>
        </w:rPr>
      </w:pPr>
      <w:r w:rsidRPr="00B3329E">
        <w:rPr>
          <w:rFonts w:ascii="Tahoma" w:hAnsi="Tahoma" w:cs="Tahoma"/>
          <w:color w:val="000000" w:themeColor="text1"/>
        </w:rPr>
        <w:t>Morgan Stanley (2016), The Case for a Strategic Allocation to Global Listed Infrastructure Securities, [https://www.morganstanley.com/im/publication/insights/investment-insights/ii_globallistedinfrastructure_en.pdf], accessed on 23/06/2018</w:t>
      </w:r>
    </w:p>
    <w:p w:rsidR="00D771A8" w:rsidRPr="00B3329E" w:rsidRDefault="00D771A8" w:rsidP="00EA6483">
      <w:pPr>
        <w:spacing w:after="0"/>
        <w:rPr>
          <w:rFonts w:ascii="Tahoma" w:hAnsi="Tahoma" w:cs="Tahoma"/>
          <w:color w:val="000000" w:themeColor="text1"/>
        </w:rPr>
      </w:pPr>
    </w:p>
    <w:p w:rsidR="00E9354D" w:rsidRPr="00B3329E" w:rsidRDefault="00E9354D" w:rsidP="00EA6483">
      <w:pPr>
        <w:spacing w:after="0"/>
        <w:rPr>
          <w:rFonts w:ascii="Tahoma" w:hAnsi="Tahoma" w:cs="Tahoma"/>
          <w:color w:val="000000" w:themeColor="text1"/>
        </w:rPr>
      </w:pPr>
      <w:r w:rsidRPr="00B3329E">
        <w:rPr>
          <w:rFonts w:ascii="Tahoma" w:hAnsi="Tahoma" w:cs="Tahoma"/>
          <w:color w:val="000000" w:themeColor="text1"/>
        </w:rPr>
        <w:t xml:space="preserve">G. Newell and H. Peng (2007), “The Significance of Infrastructure in Australian Investment Portfolios”, Pacific Rim Property Research Journal, </w:t>
      </w:r>
      <w:r w:rsidRPr="00B3329E">
        <w:rPr>
          <w:rFonts w:ascii="Tahoma" w:hAnsi="Tahoma" w:cs="Tahoma"/>
          <w:color w:val="000000" w:themeColor="text1"/>
          <w:shd w:val="clear" w:color="auto" w:fill="FFFFFF"/>
        </w:rPr>
        <w:t>Vol. 13, No. 4</w:t>
      </w:r>
    </w:p>
    <w:p w:rsidR="00B17631" w:rsidRPr="00B3329E" w:rsidRDefault="00B17631" w:rsidP="00EA6483">
      <w:pPr>
        <w:spacing w:after="0"/>
        <w:rPr>
          <w:rFonts w:ascii="Tahoma" w:hAnsi="Tahoma" w:cs="Tahoma"/>
          <w:color w:val="000000" w:themeColor="text1"/>
        </w:rPr>
      </w:pPr>
    </w:p>
    <w:p w:rsidR="004C0B65" w:rsidRPr="00B3329E" w:rsidRDefault="004C0B65" w:rsidP="00EA6483">
      <w:pPr>
        <w:spacing w:after="0"/>
        <w:rPr>
          <w:rFonts w:ascii="Tahoma" w:hAnsi="Tahoma" w:cs="Tahoma"/>
          <w:color w:val="000000" w:themeColor="text1"/>
        </w:rPr>
      </w:pPr>
      <w:r w:rsidRPr="00B3329E">
        <w:rPr>
          <w:rFonts w:ascii="Tahoma" w:hAnsi="Tahoma" w:cs="Tahoma"/>
          <w:color w:val="000000" w:themeColor="text1"/>
        </w:rPr>
        <w:t xml:space="preserve">G. Newell and H. Peng (2008), “The Role of U.S. Infrastructure in Investment Portfolios”, Joumal of Real Estate Portfolio Management, </w:t>
      </w:r>
      <w:r w:rsidRPr="00B3329E">
        <w:rPr>
          <w:rFonts w:ascii="Tahoma" w:hAnsi="Tahoma" w:cs="Tahoma"/>
          <w:color w:val="000000" w:themeColor="text1"/>
          <w:shd w:val="clear" w:color="auto" w:fill="FFFFFF"/>
        </w:rPr>
        <w:t>Vol. 14, No. 1, pp. 21-34</w:t>
      </w:r>
    </w:p>
    <w:p w:rsidR="00B17631" w:rsidRPr="00B3329E" w:rsidRDefault="00B17631" w:rsidP="00EA6483">
      <w:pPr>
        <w:spacing w:after="0"/>
        <w:rPr>
          <w:rFonts w:ascii="Tahoma" w:hAnsi="Tahoma" w:cs="Tahoma"/>
          <w:b/>
          <w:bCs/>
          <w:color w:val="000000" w:themeColor="text1"/>
          <w:spacing w:val="3"/>
        </w:rPr>
      </w:pPr>
    </w:p>
    <w:p w:rsidR="00B17631" w:rsidRPr="00B3329E" w:rsidRDefault="00B17631" w:rsidP="00EA6483">
      <w:pPr>
        <w:spacing w:after="0"/>
        <w:rPr>
          <w:rFonts w:ascii="Tahoma" w:hAnsi="Tahoma" w:cs="Tahoma"/>
          <w:color w:val="000000" w:themeColor="text1"/>
        </w:rPr>
      </w:pPr>
      <w:r w:rsidRPr="00B3329E">
        <w:rPr>
          <w:rFonts w:ascii="Tahoma" w:hAnsi="Tahoma" w:cs="Tahoma"/>
          <w:color w:val="000000" w:themeColor="text1"/>
        </w:rPr>
        <w:t>OECD (2017), “Investing in Climate, Investing in Growth”</w:t>
      </w:r>
      <w:r w:rsidR="00AC4871" w:rsidRPr="00B3329E">
        <w:rPr>
          <w:rFonts w:ascii="Tahoma" w:hAnsi="Tahoma" w:cs="Tahoma"/>
          <w:color w:val="000000" w:themeColor="text1"/>
        </w:rPr>
        <w:t>, [http://www.oecd.org/env/investing-in-climate-investing-in-growth-9789264273528-en.htm], accessed on 03/06/2018</w:t>
      </w:r>
    </w:p>
    <w:p w:rsidR="004C5BD1" w:rsidRPr="00B3329E" w:rsidRDefault="004C5BD1" w:rsidP="00EA6483">
      <w:pPr>
        <w:spacing w:after="0"/>
        <w:rPr>
          <w:rFonts w:ascii="Tahoma" w:hAnsi="Tahoma" w:cs="Tahoma"/>
          <w:color w:val="000000" w:themeColor="text1"/>
        </w:rPr>
      </w:pPr>
    </w:p>
    <w:p w:rsidR="004C5BD1" w:rsidRPr="00B3329E" w:rsidRDefault="004C5BD1" w:rsidP="00EA6483">
      <w:pPr>
        <w:spacing w:after="0"/>
        <w:rPr>
          <w:rFonts w:ascii="Tahoma" w:hAnsi="Tahoma" w:cs="Tahoma"/>
          <w:color w:val="000000" w:themeColor="text1"/>
        </w:rPr>
      </w:pPr>
      <w:r w:rsidRPr="00B3329E">
        <w:rPr>
          <w:rFonts w:ascii="Tahoma" w:hAnsi="Tahoma" w:cs="Tahoma"/>
          <w:color w:val="000000" w:themeColor="text1"/>
        </w:rPr>
        <w:t>J. Oyodele (2014), “Performance and significance of UK-listed infrastructure in a mixed-asset portfolio”, Journal of European Real Estate Research Vol. 7, No. 2, pp. 199-215</w:t>
      </w:r>
    </w:p>
    <w:p w:rsidR="004C5BD1" w:rsidRPr="00B3329E" w:rsidRDefault="004C5BD1" w:rsidP="00EA6483">
      <w:pPr>
        <w:spacing w:after="0"/>
        <w:rPr>
          <w:rFonts w:ascii="Tahoma" w:hAnsi="Tahoma" w:cs="Tahoma"/>
          <w:color w:val="000000" w:themeColor="text1"/>
        </w:rPr>
      </w:pPr>
    </w:p>
    <w:p w:rsidR="00550685" w:rsidRPr="00B3329E" w:rsidRDefault="00550685" w:rsidP="00EA6483">
      <w:pPr>
        <w:spacing w:after="0"/>
        <w:rPr>
          <w:rFonts w:ascii="Tahoma" w:hAnsi="Tahoma" w:cs="Tahoma"/>
          <w:color w:val="000000" w:themeColor="text1"/>
        </w:rPr>
      </w:pPr>
      <w:r w:rsidRPr="00B3329E">
        <w:rPr>
          <w:rFonts w:ascii="Tahoma" w:hAnsi="Tahoma" w:cs="Tahoma"/>
          <w:color w:val="000000" w:themeColor="text1"/>
        </w:rPr>
        <w:t>J. Oyedele, S. McGreal and A. Adair (2014), “Performance of global listed infrastructure investment in a mixed asset portfolio”, Journal of Property Research, Vol. 31, No. 1, pp. 1–25</w:t>
      </w:r>
    </w:p>
    <w:p w:rsidR="00B17631" w:rsidRPr="00B3329E" w:rsidRDefault="00B17631" w:rsidP="00EA6483">
      <w:pPr>
        <w:spacing w:after="0"/>
        <w:rPr>
          <w:rFonts w:ascii="Tahoma" w:hAnsi="Tahoma" w:cs="Tahoma"/>
          <w:color w:val="000000" w:themeColor="text1"/>
        </w:rPr>
      </w:pPr>
    </w:p>
    <w:p w:rsidR="00AC4871" w:rsidRPr="00B3329E" w:rsidRDefault="00550685" w:rsidP="00EA6483">
      <w:pPr>
        <w:spacing w:after="0"/>
        <w:rPr>
          <w:rFonts w:ascii="Tahoma" w:hAnsi="Tahoma" w:cs="Tahoma"/>
          <w:color w:val="000000" w:themeColor="text1"/>
        </w:rPr>
      </w:pPr>
      <w:r w:rsidRPr="00B3329E">
        <w:rPr>
          <w:rFonts w:ascii="Tahoma" w:hAnsi="Tahoma" w:cs="Tahoma"/>
          <w:color w:val="000000" w:themeColor="text1"/>
        </w:rPr>
        <w:t>J</w:t>
      </w:r>
      <w:r w:rsidR="00AC4871" w:rsidRPr="00B3329E">
        <w:rPr>
          <w:rFonts w:ascii="Tahoma" w:hAnsi="Tahoma" w:cs="Tahoma"/>
          <w:color w:val="000000" w:themeColor="text1"/>
        </w:rPr>
        <w:t>. Oyedele, S. Mcgreal, A.</w:t>
      </w:r>
      <w:r w:rsidRPr="00B3329E">
        <w:rPr>
          <w:rFonts w:ascii="Tahoma" w:hAnsi="Tahoma" w:cs="Tahoma"/>
          <w:color w:val="000000" w:themeColor="text1"/>
        </w:rPr>
        <w:t xml:space="preserve"> Adair and</w:t>
      </w:r>
      <w:r w:rsidR="00AC4871" w:rsidRPr="00B3329E">
        <w:rPr>
          <w:rFonts w:ascii="Tahoma" w:hAnsi="Tahoma" w:cs="Tahoma"/>
          <w:color w:val="000000" w:themeColor="text1"/>
        </w:rPr>
        <w:t xml:space="preserve"> P. Ogedengbe (2013), “Performance and role of European listed infrastructure in a mixed-asset portfolio”, Journal of Financial Management of Property and Construction, Vol. 18, No. 2</w:t>
      </w:r>
    </w:p>
    <w:p w:rsidR="00D771A8" w:rsidRPr="00B3329E" w:rsidRDefault="00D771A8" w:rsidP="00EA6483">
      <w:pPr>
        <w:spacing w:after="0"/>
        <w:rPr>
          <w:rFonts w:ascii="Tahoma" w:hAnsi="Tahoma" w:cs="Tahoma"/>
          <w:color w:val="000000" w:themeColor="text1"/>
        </w:rPr>
      </w:pPr>
    </w:p>
    <w:p w:rsidR="00B45E31" w:rsidRPr="007A7B43" w:rsidRDefault="006347FA" w:rsidP="006347FA">
      <w:pPr>
        <w:pStyle w:val="a3"/>
        <w:spacing w:after="0"/>
        <w:ind w:left="0"/>
        <w:rPr>
          <w:rFonts w:ascii="Tahoma" w:hAnsi="Tahoma" w:cs="Tahoma"/>
          <w:color w:val="000000" w:themeColor="text1"/>
        </w:rPr>
      </w:pPr>
      <w:r>
        <w:rPr>
          <w:rFonts w:ascii="Tahoma" w:hAnsi="Tahoma" w:cs="Tahoma"/>
          <w:color w:val="000000" w:themeColor="text1"/>
        </w:rPr>
        <w:lastRenderedPageBreak/>
        <w:t>A. P</w:t>
      </w:r>
      <w:r w:rsidR="00550685" w:rsidRPr="007A7B43">
        <w:rPr>
          <w:rFonts w:ascii="Tahoma" w:hAnsi="Tahoma" w:cs="Tahoma"/>
          <w:color w:val="000000" w:themeColor="text1"/>
        </w:rPr>
        <w:t>anayiotou and F. Medda (2014), “Attracting private sector participation in infrastructure investment: the UK case”, Public Money &amp; Management Journal, Vol. 34, No. 6</w:t>
      </w:r>
    </w:p>
    <w:p w:rsidR="007F2105" w:rsidRPr="00B3329E" w:rsidRDefault="007F2105" w:rsidP="00EA6483">
      <w:pPr>
        <w:spacing w:after="0"/>
        <w:ind w:left="360"/>
        <w:rPr>
          <w:rFonts w:ascii="Tahoma" w:hAnsi="Tahoma" w:cs="Tahoma"/>
          <w:color w:val="000000" w:themeColor="text1"/>
        </w:rPr>
      </w:pPr>
    </w:p>
    <w:p w:rsidR="00B17631" w:rsidRPr="00B3329E" w:rsidRDefault="00D97C26" w:rsidP="00EA6483">
      <w:pPr>
        <w:spacing w:after="0"/>
        <w:rPr>
          <w:rFonts w:ascii="Tahoma" w:hAnsi="Tahoma" w:cs="Tahoma"/>
          <w:color w:val="000000" w:themeColor="text1"/>
        </w:rPr>
      </w:pPr>
      <w:r w:rsidRPr="00B3329E">
        <w:rPr>
          <w:rFonts w:ascii="Tahoma" w:hAnsi="Tahoma" w:cs="Tahoma"/>
          <w:color w:val="000000" w:themeColor="text1"/>
        </w:rPr>
        <w:t>Preqin (2018), “Preq</w:t>
      </w:r>
      <w:r w:rsidR="00B17631" w:rsidRPr="00B3329E">
        <w:rPr>
          <w:rFonts w:ascii="Tahoma" w:hAnsi="Tahoma" w:cs="Tahoma"/>
          <w:color w:val="000000" w:themeColor="text1"/>
        </w:rPr>
        <w:t>in Quarterly Update: Infrastructure Q1 2018”</w:t>
      </w:r>
      <w:r w:rsidR="00AC4871" w:rsidRPr="00B3329E">
        <w:rPr>
          <w:rFonts w:ascii="Tahoma" w:hAnsi="Tahoma" w:cs="Tahoma"/>
          <w:color w:val="000000" w:themeColor="text1"/>
        </w:rPr>
        <w:t>, [http://docs.preqin.com/quarterly/inf/Preqin-Quarterly-Infrastructure-Update-Q1-2018.pdf], accessed on 03/06/2018</w:t>
      </w:r>
    </w:p>
    <w:p w:rsidR="00B17631" w:rsidRPr="00B3329E" w:rsidRDefault="00B17631" w:rsidP="00EA6483">
      <w:pPr>
        <w:spacing w:after="0"/>
        <w:rPr>
          <w:rFonts w:ascii="Tahoma" w:hAnsi="Tahoma" w:cs="Tahoma"/>
          <w:color w:val="000000" w:themeColor="text1"/>
        </w:rPr>
      </w:pPr>
    </w:p>
    <w:p w:rsidR="00B17631" w:rsidRPr="00B3329E" w:rsidRDefault="00B17631" w:rsidP="00EA6483">
      <w:pPr>
        <w:spacing w:after="0"/>
        <w:rPr>
          <w:rFonts w:ascii="Tahoma" w:hAnsi="Tahoma" w:cs="Tahoma"/>
          <w:color w:val="000000" w:themeColor="text1"/>
        </w:rPr>
      </w:pPr>
      <w:r w:rsidRPr="00B3329E">
        <w:rPr>
          <w:rFonts w:ascii="Tahoma" w:hAnsi="Tahoma" w:cs="Tahoma"/>
          <w:color w:val="000000" w:themeColor="text1"/>
        </w:rPr>
        <w:t>L. Ramchand and R. Susmel (1998), “Volatility and cross correlation across major stock markets”, Journal of Empirical Finance, Vol. 5 pp. 397–416</w:t>
      </w:r>
    </w:p>
    <w:p w:rsidR="00B17631" w:rsidRPr="00B3329E" w:rsidRDefault="00B17631" w:rsidP="00EA6483">
      <w:pPr>
        <w:spacing w:after="0"/>
        <w:rPr>
          <w:rFonts w:ascii="Tahoma" w:hAnsi="Tahoma" w:cs="Tahoma"/>
          <w:color w:val="000000" w:themeColor="text1"/>
        </w:rPr>
      </w:pPr>
    </w:p>
    <w:p w:rsidR="004C0B65" w:rsidRPr="00B3329E" w:rsidRDefault="004C0B65" w:rsidP="00EA6483">
      <w:pPr>
        <w:spacing w:after="0"/>
        <w:rPr>
          <w:rFonts w:ascii="Tahoma" w:hAnsi="Tahoma" w:cs="Tahoma"/>
          <w:color w:val="000000" w:themeColor="text1"/>
          <w:shd w:val="clear" w:color="auto" w:fill="FFFFFF"/>
        </w:rPr>
      </w:pPr>
      <w:r w:rsidRPr="00B3329E">
        <w:rPr>
          <w:rFonts w:ascii="Tahoma" w:hAnsi="Tahoma" w:cs="Tahoma"/>
          <w:color w:val="000000" w:themeColor="text1"/>
        </w:rPr>
        <w:t xml:space="preserve">C. Rothballer and C. Kaserer (2012), “The Risk Profile of Infrastructure Investments: Challenging Conventional Wisdom”, The Journal of Structured Finance </w:t>
      </w:r>
      <w:r w:rsidRPr="00B3329E">
        <w:rPr>
          <w:rFonts w:ascii="Tahoma" w:hAnsi="Tahoma" w:cs="Tahoma"/>
          <w:color w:val="000000" w:themeColor="text1"/>
          <w:shd w:val="clear" w:color="auto" w:fill="FFFFFF"/>
        </w:rPr>
        <w:t>Vol. 18, No. 2, pp.95-109</w:t>
      </w:r>
    </w:p>
    <w:p w:rsidR="00B45E31" w:rsidRPr="00B3329E" w:rsidRDefault="00B45E31" w:rsidP="00EA6483">
      <w:pPr>
        <w:spacing w:after="0"/>
        <w:rPr>
          <w:rFonts w:ascii="Tahoma" w:hAnsi="Tahoma" w:cs="Tahoma"/>
          <w:color w:val="000000" w:themeColor="text1"/>
        </w:rPr>
      </w:pPr>
    </w:p>
    <w:p w:rsidR="00B17631" w:rsidRPr="00B3329E" w:rsidRDefault="00B17631" w:rsidP="00EA6483">
      <w:pPr>
        <w:spacing w:after="0"/>
        <w:rPr>
          <w:rFonts w:ascii="Tahoma" w:hAnsi="Tahoma" w:cs="Tahoma"/>
          <w:color w:val="000000" w:themeColor="text1"/>
        </w:rPr>
      </w:pPr>
      <w:r w:rsidRPr="00B3329E">
        <w:rPr>
          <w:rFonts w:ascii="Tahoma" w:hAnsi="Tahoma" w:cs="Tahoma"/>
          <w:color w:val="000000" w:themeColor="text1"/>
        </w:rPr>
        <w:t>D. Russ, Y. Th</w:t>
      </w:r>
      <w:r w:rsidR="00D771A8" w:rsidRPr="00B3329E">
        <w:rPr>
          <w:rFonts w:ascii="Tahoma" w:hAnsi="Tahoma" w:cs="Tahoma"/>
          <w:color w:val="000000" w:themeColor="text1"/>
        </w:rPr>
        <w:t xml:space="preserve">ambiah and N, Foscari, (2010), </w:t>
      </w:r>
      <w:r w:rsidRPr="00B3329E">
        <w:rPr>
          <w:rFonts w:ascii="Tahoma" w:hAnsi="Tahoma" w:cs="Tahoma"/>
          <w:color w:val="000000" w:themeColor="text1"/>
        </w:rPr>
        <w:t>Can Infrastructure Investin</w:t>
      </w:r>
      <w:r w:rsidR="00D771A8" w:rsidRPr="00B3329E">
        <w:rPr>
          <w:rFonts w:ascii="Tahoma" w:hAnsi="Tahoma" w:cs="Tahoma"/>
          <w:color w:val="000000" w:themeColor="text1"/>
        </w:rPr>
        <w:t>g Enhance Portfolio Efficiency?, [https://www.credit-suisse.com/pwp/am/downloads/marketing/infrastructure_ch_uk_lux_ita_scandinavia.pdf], accessed on 01/07/2018</w:t>
      </w:r>
    </w:p>
    <w:p w:rsidR="00D771A8" w:rsidRPr="00B3329E" w:rsidRDefault="00D771A8" w:rsidP="00EA6483">
      <w:pPr>
        <w:spacing w:after="0"/>
        <w:rPr>
          <w:rFonts w:ascii="Tahoma" w:hAnsi="Tahoma" w:cs="Tahoma"/>
          <w:color w:val="000000" w:themeColor="text1"/>
        </w:rPr>
      </w:pPr>
    </w:p>
    <w:p w:rsidR="00D97C26" w:rsidRPr="00B3329E" w:rsidRDefault="00D97C26" w:rsidP="00EA6483">
      <w:pPr>
        <w:spacing w:after="0"/>
        <w:rPr>
          <w:rFonts w:ascii="Tahoma" w:hAnsi="Tahoma" w:cs="Tahoma"/>
          <w:color w:val="000000" w:themeColor="text1"/>
        </w:rPr>
      </w:pPr>
      <w:r w:rsidRPr="00B3329E">
        <w:rPr>
          <w:rFonts w:ascii="Tahoma" w:hAnsi="Tahoma" w:cs="Tahoma"/>
          <w:color w:val="000000" w:themeColor="text1"/>
        </w:rPr>
        <w:t xml:space="preserve">Russell Investments (2011), Structuring a listed infrastructure portfolio, </w:t>
      </w:r>
      <w:r w:rsidR="00E50FCB" w:rsidRPr="00B3329E">
        <w:rPr>
          <w:rFonts w:ascii="Tahoma" w:hAnsi="Tahoma" w:cs="Tahoma"/>
          <w:color w:val="000000" w:themeColor="text1"/>
        </w:rPr>
        <w:t>[https://russellinvestments.com/-/media/files/au/insights/2011_june_r_rpt_res_structinfra.pdf], accessed on 23/06/2018</w:t>
      </w:r>
    </w:p>
    <w:p w:rsidR="00B17631" w:rsidRPr="00B3329E" w:rsidRDefault="00B17631" w:rsidP="00EA6483">
      <w:pPr>
        <w:spacing w:after="0"/>
        <w:rPr>
          <w:rFonts w:ascii="Tahoma" w:hAnsi="Tahoma" w:cs="Tahoma"/>
          <w:color w:val="000000" w:themeColor="text1"/>
        </w:rPr>
      </w:pPr>
    </w:p>
    <w:p w:rsidR="00AE5A1E" w:rsidRPr="00B3329E" w:rsidRDefault="004C0B65" w:rsidP="00EA6483">
      <w:pPr>
        <w:spacing w:after="0"/>
        <w:rPr>
          <w:rFonts w:ascii="Tahoma" w:hAnsi="Tahoma" w:cs="Tahoma"/>
          <w:color w:val="000000" w:themeColor="text1"/>
        </w:rPr>
      </w:pPr>
      <w:r w:rsidRPr="00B3329E">
        <w:rPr>
          <w:rFonts w:ascii="Tahoma" w:hAnsi="Tahoma" w:cs="Tahoma"/>
          <w:color w:val="000000" w:themeColor="text1"/>
        </w:rPr>
        <w:t>R. Sawant (2010</w:t>
      </w:r>
      <w:r w:rsidR="004B44CF" w:rsidRPr="00B3329E">
        <w:rPr>
          <w:rFonts w:ascii="Tahoma" w:hAnsi="Tahoma" w:cs="Tahoma"/>
          <w:color w:val="000000" w:themeColor="text1"/>
        </w:rPr>
        <w:t>)</w:t>
      </w:r>
      <w:r w:rsidRPr="00B3329E">
        <w:rPr>
          <w:rFonts w:ascii="Tahoma" w:hAnsi="Tahoma" w:cs="Tahoma"/>
          <w:color w:val="000000" w:themeColor="text1"/>
        </w:rPr>
        <w:t>, Infrastructure Investing: Managing Risks &amp; Rewards for Pensions, Insurance Companies &amp; Endowments, Wiley</w:t>
      </w:r>
      <w:r w:rsidR="00E9354D" w:rsidRPr="00B3329E">
        <w:rPr>
          <w:rFonts w:ascii="Tahoma" w:hAnsi="Tahoma" w:cs="Tahoma"/>
          <w:color w:val="000000" w:themeColor="text1"/>
        </w:rPr>
        <w:t>&amp; Sons, New York, NY, US</w:t>
      </w:r>
    </w:p>
    <w:bookmarkEnd w:id="3"/>
    <w:p w:rsidR="004F634E" w:rsidRPr="00B3329E" w:rsidRDefault="004F634E" w:rsidP="00EA6483">
      <w:pPr>
        <w:spacing w:after="0"/>
        <w:rPr>
          <w:rFonts w:ascii="Tahoma" w:hAnsi="Tahoma" w:cs="Tahoma"/>
          <w:b/>
          <w:iCs/>
          <w:color w:val="000000" w:themeColor="text1"/>
        </w:rPr>
      </w:pPr>
    </w:p>
    <w:sectPr w:rsidR="004F634E" w:rsidRPr="00B3329E" w:rsidSect="00856B02">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640" w:rsidRDefault="00A01640" w:rsidP="00977C3F">
      <w:pPr>
        <w:spacing w:after="0" w:line="240" w:lineRule="auto"/>
      </w:pPr>
      <w:r>
        <w:separator/>
      </w:r>
    </w:p>
  </w:endnote>
  <w:endnote w:type="continuationSeparator" w:id="0">
    <w:p w:rsidR="00A01640" w:rsidRDefault="00A01640" w:rsidP="0097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dvOT483a8203">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657451"/>
      <w:docPartObj>
        <w:docPartGallery w:val="Page Numbers (Bottom of Page)"/>
        <w:docPartUnique/>
      </w:docPartObj>
    </w:sdtPr>
    <w:sdtEndPr>
      <w:rPr>
        <w:noProof/>
      </w:rPr>
    </w:sdtEndPr>
    <w:sdtContent>
      <w:p w:rsidR="00AF16F2" w:rsidRDefault="00AF16F2">
        <w:pPr>
          <w:pStyle w:val="af8"/>
          <w:jc w:val="right"/>
        </w:pPr>
        <w:r>
          <w:fldChar w:fldCharType="begin"/>
        </w:r>
        <w:r>
          <w:instrText xml:space="preserve"> PAGE   \* MERGEFORMAT </w:instrText>
        </w:r>
        <w:r>
          <w:fldChar w:fldCharType="separate"/>
        </w:r>
        <w:r w:rsidR="005469A2">
          <w:rPr>
            <w:noProof/>
          </w:rPr>
          <w:t>20</w:t>
        </w:r>
        <w:r>
          <w:rPr>
            <w:noProof/>
          </w:rPr>
          <w:fldChar w:fldCharType="end"/>
        </w:r>
      </w:p>
    </w:sdtContent>
  </w:sdt>
  <w:p w:rsidR="00AF16F2" w:rsidRDefault="00AF16F2">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F2" w:rsidRDefault="00AF16F2" w:rsidP="00856B02">
    <w:pPr>
      <w:pStyle w:val="af7"/>
    </w:pPr>
    <w:r>
      <w:tab/>
      <w:t>The Bartlett – School of Construction and Project Management</w:t>
    </w:r>
  </w:p>
  <w:p w:rsidR="00AF16F2" w:rsidRDefault="00AF16F2" w:rsidP="00856B02">
    <w:pPr>
      <w:pStyle w:val="af8"/>
      <w:jc w:val="center"/>
    </w:pPr>
    <w:r>
      <w:t>UCL Faculty of the Built Environment</w:t>
    </w:r>
  </w:p>
  <w:p w:rsidR="00AF16F2" w:rsidRDefault="00AF16F2" w:rsidP="00856B02">
    <w:pPr>
      <w:pStyle w:val="af8"/>
      <w:jc w:val="center"/>
    </w:pPr>
    <w:r>
      <w:t>2nd Floor 1-19 Torrington Place</w:t>
    </w:r>
  </w:p>
  <w:p w:rsidR="00AF16F2" w:rsidRDefault="00AF16F2" w:rsidP="00856B02">
    <w:pPr>
      <w:pStyle w:val="af8"/>
      <w:jc w:val="center"/>
    </w:pPr>
    <w:r>
      <w:t>London – WC1E 7HB</w:t>
    </w:r>
  </w:p>
  <w:p w:rsidR="00AF16F2" w:rsidRDefault="00AF16F2">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640" w:rsidRDefault="00A01640" w:rsidP="00977C3F">
      <w:pPr>
        <w:spacing w:after="0" w:line="240" w:lineRule="auto"/>
      </w:pPr>
      <w:r>
        <w:separator/>
      </w:r>
    </w:p>
  </w:footnote>
  <w:footnote w:type="continuationSeparator" w:id="0">
    <w:p w:rsidR="00A01640" w:rsidRDefault="00A01640" w:rsidP="0097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F2" w:rsidRDefault="00AF16F2">
    <w:pPr>
      <w:pStyle w:val="af7"/>
    </w:pPr>
    <w:r>
      <w:rPr>
        <w:noProof/>
        <w:lang w:val="en-US" w:eastAsia="zh-CN"/>
      </w:rPr>
      <w:drawing>
        <wp:inline distT="0" distB="0" distL="0" distR="0" wp14:anchorId="38717091" wp14:editId="72F83E98">
          <wp:extent cx="5227320" cy="4203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7320" cy="4203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C0B36"/>
    <w:multiLevelType w:val="multilevel"/>
    <w:tmpl w:val="AD9A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37D2D"/>
    <w:multiLevelType w:val="hybridMultilevel"/>
    <w:tmpl w:val="F1A6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E6373"/>
    <w:multiLevelType w:val="hybridMultilevel"/>
    <w:tmpl w:val="89CCD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F96E50"/>
    <w:multiLevelType w:val="hybridMultilevel"/>
    <w:tmpl w:val="A8B4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86DF2"/>
    <w:multiLevelType w:val="hybridMultilevel"/>
    <w:tmpl w:val="6E728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B7E0D"/>
    <w:multiLevelType w:val="hybridMultilevel"/>
    <w:tmpl w:val="04A4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B569B1"/>
    <w:multiLevelType w:val="hybridMultilevel"/>
    <w:tmpl w:val="63205DF0"/>
    <w:lvl w:ilvl="0" w:tplc="2F5A18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030FCB"/>
    <w:multiLevelType w:val="hybridMultilevel"/>
    <w:tmpl w:val="ABC2B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777E0"/>
    <w:multiLevelType w:val="hybridMultilevel"/>
    <w:tmpl w:val="22D8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9790C"/>
    <w:multiLevelType w:val="hybridMultilevel"/>
    <w:tmpl w:val="BB10E2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5C1AA9"/>
    <w:multiLevelType w:val="hybridMultilevel"/>
    <w:tmpl w:val="0850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70F83"/>
    <w:multiLevelType w:val="multilevel"/>
    <w:tmpl w:val="E60C13D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2" w15:restartNumberingAfterBreak="0">
    <w:nsid w:val="7EC77DA0"/>
    <w:multiLevelType w:val="hybridMultilevel"/>
    <w:tmpl w:val="577A676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8"/>
  </w:num>
  <w:num w:numId="6">
    <w:abstractNumId w:val="11"/>
  </w:num>
  <w:num w:numId="7">
    <w:abstractNumId w:val="6"/>
  </w:num>
  <w:num w:numId="8">
    <w:abstractNumId w:val="2"/>
  </w:num>
  <w:num w:numId="9">
    <w:abstractNumId w:val="7"/>
  </w:num>
  <w:num w:numId="10">
    <w:abstractNumId w:val="5"/>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D8"/>
    <w:rsid w:val="00000DAD"/>
    <w:rsid w:val="00000FCD"/>
    <w:rsid w:val="00001B03"/>
    <w:rsid w:val="000027FE"/>
    <w:rsid w:val="00002EAE"/>
    <w:rsid w:val="000032A3"/>
    <w:rsid w:val="00004907"/>
    <w:rsid w:val="00004F8C"/>
    <w:rsid w:val="00005126"/>
    <w:rsid w:val="00005785"/>
    <w:rsid w:val="00013EF4"/>
    <w:rsid w:val="000148E4"/>
    <w:rsid w:val="000152DA"/>
    <w:rsid w:val="000164FF"/>
    <w:rsid w:val="0001774B"/>
    <w:rsid w:val="0003493C"/>
    <w:rsid w:val="00035DA2"/>
    <w:rsid w:val="000416ED"/>
    <w:rsid w:val="0004343D"/>
    <w:rsid w:val="00043A9A"/>
    <w:rsid w:val="0004615F"/>
    <w:rsid w:val="00046452"/>
    <w:rsid w:val="00047557"/>
    <w:rsid w:val="00052AA9"/>
    <w:rsid w:val="0005441D"/>
    <w:rsid w:val="0005528E"/>
    <w:rsid w:val="00063249"/>
    <w:rsid w:val="00074BEE"/>
    <w:rsid w:val="00074D66"/>
    <w:rsid w:val="00077CC9"/>
    <w:rsid w:val="00080897"/>
    <w:rsid w:val="00081A21"/>
    <w:rsid w:val="00084EC8"/>
    <w:rsid w:val="00086806"/>
    <w:rsid w:val="000870B2"/>
    <w:rsid w:val="000921E3"/>
    <w:rsid w:val="000923B8"/>
    <w:rsid w:val="00092C8E"/>
    <w:rsid w:val="00093B39"/>
    <w:rsid w:val="0009587F"/>
    <w:rsid w:val="0009592C"/>
    <w:rsid w:val="000974F4"/>
    <w:rsid w:val="000A1582"/>
    <w:rsid w:val="000B0521"/>
    <w:rsid w:val="000B1C53"/>
    <w:rsid w:val="000B7111"/>
    <w:rsid w:val="000B74BE"/>
    <w:rsid w:val="000C1262"/>
    <w:rsid w:val="000C1F60"/>
    <w:rsid w:val="000C5145"/>
    <w:rsid w:val="000C597F"/>
    <w:rsid w:val="000C5A98"/>
    <w:rsid w:val="000C7196"/>
    <w:rsid w:val="000D0791"/>
    <w:rsid w:val="000D4AB5"/>
    <w:rsid w:val="000D590D"/>
    <w:rsid w:val="000E2310"/>
    <w:rsid w:val="000F615F"/>
    <w:rsid w:val="000F6740"/>
    <w:rsid w:val="000F68B3"/>
    <w:rsid w:val="000F69D0"/>
    <w:rsid w:val="000F6FCC"/>
    <w:rsid w:val="000F6FEE"/>
    <w:rsid w:val="00102AED"/>
    <w:rsid w:val="00103168"/>
    <w:rsid w:val="00106638"/>
    <w:rsid w:val="0011089D"/>
    <w:rsid w:val="00110C6C"/>
    <w:rsid w:val="001125E2"/>
    <w:rsid w:val="00112807"/>
    <w:rsid w:val="00112B59"/>
    <w:rsid w:val="00112EBC"/>
    <w:rsid w:val="00117B64"/>
    <w:rsid w:val="00120D9A"/>
    <w:rsid w:val="00121118"/>
    <w:rsid w:val="001227DB"/>
    <w:rsid w:val="00123589"/>
    <w:rsid w:val="00125C64"/>
    <w:rsid w:val="0013011D"/>
    <w:rsid w:val="001354E5"/>
    <w:rsid w:val="001412B8"/>
    <w:rsid w:val="001456AE"/>
    <w:rsid w:val="00145F59"/>
    <w:rsid w:val="0015286C"/>
    <w:rsid w:val="001534DE"/>
    <w:rsid w:val="00153E72"/>
    <w:rsid w:val="00157D3C"/>
    <w:rsid w:val="0016172B"/>
    <w:rsid w:val="001667F3"/>
    <w:rsid w:val="00167649"/>
    <w:rsid w:val="001679EE"/>
    <w:rsid w:val="00167A45"/>
    <w:rsid w:val="001702B3"/>
    <w:rsid w:val="001707C5"/>
    <w:rsid w:val="00171419"/>
    <w:rsid w:val="001716C1"/>
    <w:rsid w:val="001716F0"/>
    <w:rsid w:val="001717A3"/>
    <w:rsid w:val="00173EFC"/>
    <w:rsid w:val="001741CE"/>
    <w:rsid w:val="001748CC"/>
    <w:rsid w:val="00174F17"/>
    <w:rsid w:val="00174F34"/>
    <w:rsid w:val="00176364"/>
    <w:rsid w:val="0017638B"/>
    <w:rsid w:val="00177008"/>
    <w:rsid w:val="00182D1F"/>
    <w:rsid w:val="00184742"/>
    <w:rsid w:val="0018545D"/>
    <w:rsid w:val="00186A0D"/>
    <w:rsid w:val="00187E75"/>
    <w:rsid w:val="00190B27"/>
    <w:rsid w:val="001925C1"/>
    <w:rsid w:val="00193C67"/>
    <w:rsid w:val="00193DD1"/>
    <w:rsid w:val="001949FF"/>
    <w:rsid w:val="00196554"/>
    <w:rsid w:val="001970B8"/>
    <w:rsid w:val="001A7147"/>
    <w:rsid w:val="001A7E13"/>
    <w:rsid w:val="001B28D8"/>
    <w:rsid w:val="001B3E1D"/>
    <w:rsid w:val="001B558E"/>
    <w:rsid w:val="001B5EF9"/>
    <w:rsid w:val="001B7CE6"/>
    <w:rsid w:val="001B7F93"/>
    <w:rsid w:val="001C0E8C"/>
    <w:rsid w:val="001C1147"/>
    <w:rsid w:val="001C1C63"/>
    <w:rsid w:val="001C1F96"/>
    <w:rsid w:val="001C2D64"/>
    <w:rsid w:val="001D005E"/>
    <w:rsid w:val="001D126B"/>
    <w:rsid w:val="001D1495"/>
    <w:rsid w:val="001D2897"/>
    <w:rsid w:val="001D2E35"/>
    <w:rsid w:val="001D3DB6"/>
    <w:rsid w:val="001E043B"/>
    <w:rsid w:val="001E0560"/>
    <w:rsid w:val="001E23CA"/>
    <w:rsid w:val="001E30DF"/>
    <w:rsid w:val="001E4ACF"/>
    <w:rsid w:val="001F2E5E"/>
    <w:rsid w:val="001F57D3"/>
    <w:rsid w:val="001F5CA1"/>
    <w:rsid w:val="001F7C55"/>
    <w:rsid w:val="00200824"/>
    <w:rsid w:val="0020138D"/>
    <w:rsid w:val="002038D8"/>
    <w:rsid w:val="0020420E"/>
    <w:rsid w:val="002069A3"/>
    <w:rsid w:val="00212F35"/>
    <w:rsid w:val="00213B13"/>
    <w:rsid w:val="0021565A"/>
    <w:rsid w:val="00217735"/>
    <w:rsid w:val="002246AD"/>
    <w:rsid w:val="002255BE"/>
    <w:rsid w:val="00226E5F"/>
    <w:rsid w:val="00230E9D"/>
    <w:rsid w:val="00232730"/>
    <w:rsid w:val="002328F0"/>
    <w:rsid w:val="00232E38"/>
    <w:rsid w:val="00233889"/>
    <w:rsid w:val="002405B6"/>
    <w:rsid w:val="00240B0A"/>
    <w:rsid w:val="00246A3A"/>
    <w:rsid w:val="002479CA"/>
    <w:rsid w:val="00247CC5"/>
    <w:rsid w:val="00251692"/>
    <w:rsid w:val="00252BE3"/>
    <w:rsid w:val="002532B9"/>
    <w:rsid w:val="00263D20"/>
    <w:rsid w:val="00266427"/>
    <w:rsid w:val="00266F8D"/>
    <w:rsid w:val="00267ABA"/>
    <w:rsid w:val="00273523"/>
    <w:rsid w:val="00284632"/>
    <w:rsid w:val="00286FBC"/>
    <w:rsid w:val="00290313"/>
    <w:rsid w:val="002947E6"/>
    <w:rsid w:val="00296EEF"/>
    <w:rsid w:val="00297771"/>
    <w:rsid w:val="00297D33"/>
    <w:rsid w:val="002A0375"/>
    <w:rsid w:val="002A3516"/>
    <w:rsid w:val="002A5147"/>
    <w:rsid w:val="002A584A"/>
    <w:rsid w:val="002A6CF9"/>
    <w:rsid w:val="002B0630"/>
    <w:rsid w:val="002B14A0"/>
    <w:rsid w:val="002B2EC9"/>
    <w:rsid w:val="002B420B"/>
    <w:rsid w:val="002B56B2"/>
    <w:rsid w:val="002B675F"/>
    <w:rsid w:val="002C13E0"/>
    <w:rsid w:val="002C1FAA"/>
    <w:rsid w:val="002C2B3A"/>
    <w:rsid w:val="002C7387"/>
    <w:rsid w:val="002C7F29"/>
    <w:rsid w:val="002D0F89"/>
    <w:rsid w:val="002D282F"/>
    <w:rsid w:val="002D5666"/>
    <w:rsid w:val="002E2741"/>
    <w:rsid w:val="002E2818"/>
    <w:rsid w:val="002E4299"/>
    <w:rsid w:val="002E4343"/>
    <w:rsid w:val="002E6670"/>
    <w:rsid w:val="002F03FB"/>
    <w:rsid w:val="002F0DF6"/>
    <w:rsid w:val="002F1A0C"/>
    <w:rsid w:val="002F25AC"/>
    <w:rsid w:val="002F4DFA"/>
    <w:rsid w:val="002F5098"/>
    <w:rsid w:val="00301976"/>
    <w:rsid w:val="00302BB9"/>
    <w:rsid w:val="00303AE7"/>
    <w:rsid w:val="00305727"/>
    <w:rsid w:val="00305C2E"/>
    <w:rsid w:val="0030677C"/>
    <w:rsid w:val="00306E6C"/>
    <w:rsid w:val="00310B98"/>
    <w:rsid w:val="003126F2"/>
    <w:rsid w:val="003127E1"/>
    <w:rsid w:val="00312ED7"/>
    <w:rsid w:val="003148D0"/>
    <w:rsid w:val="003156AE"/>
    <w:rsid w:val="00315D82"/>
    <w:rsid w:val="003178B7"/>
    <w:rsid w:val="00321194"/>
    <w:rsid w:val="003310CA"/>
    <w:rsid w:val="003328B7"/>
    <w:rsid w:val="00333A18"/>
    <w:rsid w:val="00333C57"/>
    <w:rsid w:val="00334ADB"/>
    <w:rsid w:val="003363A1"/>
    <w:rsid w:val="00344D1D"/>
    <w:rsid w:val="00347230"/>
    <w:rsid w:val="00347D86"/>
    <w:rsid w:val="00351036"/>
    <w:rsid w:val="00354867"/>
    <w:rsid w:val="00365501"/>
    <w:rsid w:val="0036553F"/>
    <w:rsid w:val="0036588C"/>
    <w:rsid w:val="003677C9"/>
    <w:rsid w:val="0037380E"/>
    <w:rsid w:val="00374858"/>
    <w:rsid w:val="003813DA"/>
    <w:rsid w:val="003819FF"/>
    <w:rsid w:val="0038216B"/>
    <w:rsid w:val="00383238"/>
    <w:rsid w:val="003835A1"/>
    <w:rsid w:val="003845D9"/>
    <w:rsid w:val="0039406A"/>
    <w:rsid w:val="00397BF2"/>
    <w:rsid w:val="003A100F"/>
    <w:rsid w:val="003A4677"/>
    <w:rsid w:val="003B12E0"/>
    <w:rsid w:val="003B3AE6"/>
    <w:rsid w:val="003B6C62"/>
    <w:rsid w:val="003B718E"/>
    <w:rsid w:val="003C0BEB"/>
    <w:rsid w:val="003C23A7"/>
    <w:rsid w:val="003C3580"/>
    <w:rsid w:val="003C3A9E"/>
    <w:rsid w:val="003C6267"/>
    <w:rsid w:val="003C7AAB"/>
    <w:rsid w:val="003D4C80"/>
    <w:rsid w:val="003D4DE9"/>
    <w:rsid w:val="003D790B"/>
    <w:rsid w:val="003E09F8"/>
    <w:rsid w:val="003E2B2F"/>
    <w:rsid w:val="003E4872"/>
    <w:rsid w:val="003E5196"/>
    <w:rsid w:val="003F0A50"/>
    <w:rsid w:val="003F0EF0"/>
    <w:rsid w:val="003F1F06"/>
    <w:rsid w:val="003F2D15"/>
    <w:rsid w:val="003F4770"/>
    <w:rsid w:val="003F47EF"/>
    <w:rsid w:val="003F5F8B"/>
    <w:rsid w:val="00403875"/>
    <w:rsid w:val="004048DE"/>
    <w:rsid w:val="0040609F"/>
    <w:rsid w:val="00406DDB"/>
    <w:rsid w:val="004118B2"/>
    <w:rsid w:val="00413968"/>
    <w:rsid w:val="00413BF0"/>
    <w:rsid w:val="00414A3E"/>
    <w:rsid w:val="00414AA5"/>
    <w:rsid w:val="004169CD"/>
    <w:rsid w:val="00421D7A"/>
    <w:rsid w:val="004241E0"/>
    <w:rsid w:val="00426438"/>
    <w:rsid w:val="0043084B"/>
    <w:rsid w:val="00431BC3"/>
    <w:rsid w:val="00431FA5"/>
    <w:rsid w:val="00433902"/>
    <w:rsid w:val="004354BE"/>
    <w:rsid w:val="00435C64"/>
    <w:rsid w:val="00436453"/>
    <w:rsid w:val="00436CBB"/>
    <w:rsid w:val="00436CE2"/>
    <w:rsid w:val="00442510"/>
    <w:rsid w:val="00446883"/>
    <w:rsid w:val="004469C8"/>
    <w:rsid w:val="00452ACB"/>
    <w:rsid w:val="00453D28"/>
    <w:rsid w:val="004563C9"/>
    <w:rsid w:val="00457517"/>
    <w:rsid w:val="004623F7"/>
    <w:rsid w:val="00464448"/>
    <w:rsid w:val="00466697"/>
    <w:rsid w:val="00466C2F"/>
    <w:rsid w:val="00470541"/>
    <w:rsid w:val="00470F4E"/>
    <w:rsid w:val="00472D84"/>
    <w:rsid w:val="0047424B"/>
    <w:rsid w:val="00476A1B"/>
    <w:rsid w:val="00476BF2"/>
    <w:rsid w:val="00480CF4"/>
    <w:rsid w:val="004823D5"/>
    <w:rsid w:val="00485040"/>
    <w:rsid w:val="00485920"/>
    <w:rsid w:val="004866EC"/>
    <w:rsid w:val="00490BC9"/>
    <w:rsid w:val="00493295"/>
    <w:rsid w:val="00497789"/>
    <w:rsid w:val="004977A4"/>
    <w:rsid w:val="004A3A78"/>
    <w:rsid w:val="004A7A14"/>
    <w:rsid w:val="004B0E0D"/>
    <w:rsid w:val="004B44CF"/>
    <w:rsid w:val="004B4C33"/>
    <w:rsid w:val="004B6A48"/>
    <w:rsid w:val="004C0B65"/>
    <w:rsid w:val="004C2C63"/>
    <w:rsid w:val="004C5BD1"/>
    <w:rsid w:val="004D6814"/>
    <w:rsid w:val="004D71D5"/>
    <w:rsid w:val="004E193A"/>
    <w:rsid w:val="004E4930"/>
    <w:rsid w:val="004F3A7E"/>
    <w:rsid w:val="004F634E"/>
    <w:rsid w:val="004F7815"/>
    <w:rsid w:val="0050154E"/>
    <w:rsid w:val="00512DE5"/>
    <w:rsid w:val="00513B22"/>
    <w:rsid w:val="005140F9"/>
    <w:rsid w:val="00522C35"/>
    <w:rsid w:val="00525346"/>
    <w:rsid w:val="005259FA"/>
    <w:rsid w:val="005305B5"/>
    <w:rsid w:val="00530DF5"/>
    <w:rsid w:val="005324B5"/>
    <w:rsid w:val="00532B1E"/>
    <w:rsid w:val="00532B6A"/>
    <w:rsid w:val="00534DF7"/>
    <w:rsid w:val="00535327"/>
    <w:rsid w:val="00535D3C"/>
    <w:rsid w:val="005469A2"/>
    <w:rsid w:val="00547F70"/>
    <w:rsid w:val="0055017D"/>
    <w:rsid w:val="0055030D"/>
    <w:rsid w:val="00550685"/>
    <w:rsid w:val="00554763"/>
    <w:rsid w:val="00554DD0"/>
    <w:rsid w:val="005550CF"/>
    <w:rsid w:val="00556798"/>
    <w:rsid w:val="005600DC"/>
    <w:rsid w:val="00562259"/>
    <w:rsid w:val="0056410A"/>
    <w:rsid w:val="005663A4"/>
    <w:rsid w:val="005758ED"/>
    <w:rsid w:val="00580C38"/>
    <w:rsid w:val="0058267E"/>
    <w:rsid w:val="0058567F"/>
    <w:rsid w:val="00591699"/>
    <w:rsid w:val="00593299"/>
    <w:rsid w:val="005933CF"/>
    <w:rsid w:val="00593921"/>
    <w:rsid w:val="00593A67"/>
    <w:rsid w:val="005A03F2"/>
    <w:rsid w:val="005A05ED"/>
    <w:rsid w:val="005A26E0"/>
    <w:rsid w:val="005A342E"/>
    <w:rsid w:val="005B0060"/>
    <w:rsid w:val="005B2025"/>
    <w:rsid w:val="005B4271"/>
    <w:rsid w:val="005B77E5"/>
    <w:rsid w:val="005C121B"/>
    <w:rsid w:val="005C2873"/>
    <w:rsid w:val="005C2B95"/>
    <w:rsid w:val="005C3535"/>
    <w:rsid w:val="005C54D5"/>
    <w:rsid w:val="005D37EA"/>
    <w:rsid w:val="005D4954"/>
    <w:rsid w:val="005D6006"/>
    <w:rsid w:val="005E01C2"/>
    <w:rsid w:val="005E2E90"/>
    <w:rsid w:val="005E48F5"/>
    <w:rsid w:val="005E750E"/>
    <w:rsid w:val="005E7B94"/>
    <w:rsid w:val="005E7BEB"/>
    <w:rsid w:val="005F2BBA"/>
    <w:rsid w:val="005F4533"/>
    <w:rsid w:val="005F676D"/>
    <w:rsid w:val="005F7CE5"/>
    <w:rsid w:val="00601600"/>
    <w:rsid w:val="006018AC"/>
    <w:rsid w:val="00604230"/>
    <w:rsid w:val="0060491B"/>
    <w:rsid w:val="00604A1D"/>
    <w:rsid w:val="00604F2F"/>
    <w:rsid w:val="006070D2"/>
    <w:rsid w:val="00611463"/>
    <w:rsid w:val="006117F8"/>
    <w:rsid w:val="00612D4A"/>
    <w:rsid w:val="00614181"/>
    <w:rsid w:val="00622DE7"/>
    <w:rsid w:val="00623807"/>
    <w:rsid w:val="00623B06"/>
    <w:rsid w:val="006251F2"/>
    <w:rsid w:val="00625ACE"/>
    <w:rsid w:val="00627D47"/>
    <w:rsid w:val="00633E14"/>
    <w:rsid w:val="00634317"/>
    <w:rsid w:val="006347FA"/>
    <w:rsid w:val="00634991"/>
    <w:rsid w:val="00636926"/>
    <w:rsid w:val="0063698C"/>
    <w:rsid w:val="00640240"/>
    <w:rsid w:val="00642EC4"/>
    <w:rsid w:val="0064302D"/>
    <w:rsid w:val="00644C3B"/>
    <w:rsid w:val="00645515"/>
    <w:rsid w:val="00645F71"/>
    <w:rsid w:val="00646B0B"/>
    <w:rsid w:val="0065194F"/>
    <w:rsid w:val="006608A4"/>
    <w:rsid w:val="006651F8"/>
    <w:rsid w:val="006677EE"/>
    <w:rsid w:val="0067154E"/>
    <w:rsid w:val="00671952"/>
    <w:rsid w:val="00671BEC"/>
    <w:rsid w:val="006742F1"/>
    <w:rsid w:val="006759F3"/>
    <w:rsid w:val="00677AFB"/>
    <w:rsid w:val="00681059"/>
    <w:rsid w:val="006864B7"/>
    <w:rsid w:val="00691366"/>
    <w:rsid w:val="00691BFF"/>
    <w:rsid w:val="006927E3"/>
    <w:rsid w:val="00695455"/>
    <w:rsid w:val="006978DA"/>
    <w:rsid w:val="006A1AFF"/>
    <w:rsid w:val="006A1D7D"/>
    <w:rsid w:val="006A3E42"/>
    <w:rsid w:val="006A4CC2"/>
    <w:rsid w:val="006B1B4D"/>
    <w:rsid w:val="006B1E07"/>
    <w:rsid w:val="006B2407"/>
    <w:rsid w:val="006B3BD6"/>
    <w:rsid w:val="006B5A44"/>
    <w:rsid w:val="006C0813"/>
    <w:rsid w:val="006C1750"/>
    <w:rsid w:val="006C1815"/>
    <w:rsid w:val="006C18FE"/>
    <w:rsid w:val="006C2F68"/>
    <w:rsid w:val="006C5199"/>
    <w:rsid w:val="006C5A17"/>
    <w:rsid w:val="006D45BD"/>
    <w:rsid w:val="006D6476"/>
    <w:rsid w:val="006E21B4"/>
    <w:rsid w:val="006E422C"/>
    <w:rsid w:val="006E5278"/>
    <w:rsid w:val="006E602B"/>
    <w:rsid w:val="006E7CBD"/>
    <w:rsid w:val="006F0496"/>
    <w:rsid w:val="006F1995"/>
    <w:rsid w:val="006F2671"/>
    <w:rsid w:val="007006D2"/>
    <w:rsid w:val="00700D16"/>
    <w:rsid w:val="0070139D"/>
    <w:rsid w:val="00703D08"/>
    <w:rsid w:val="007101DF"/>
    <w:rsid w:val="00714554"/>
    <w:rsid w:val="007168EB"/>
    <w:rsid w:val="0071755B"/>
    <w:rsid w:val="0072138A"/>
    <w:rsid w:val="00726B06"/>
    <w:rsid w:val="00727498"/>
    <w:rsid w:val="0073019D"/>
    <w:rsid w:val="00731B33"/>
    <w:rsid w:val="00733718"/>
    <w:rsid w:val="007339C2"/>
    <w:rsid w:val="00733B41"/>
    <w:rsid w:val="00736A3F"/>
    <w:rsid w:val="007372A7"/>
    <w:rsid w:val="00737AD1"/>
    <w:rsid w:val="007400A2"/>
    <w:rsid w:val="007404C8"/>
    <w:rsid w:val="007408C7"/>
    <w:rsid w:val="00741EEB"/>
    <w:rsid w:val="007445A6"/>
    <w:rsid w:val="00745946"/>
    <w:rsid w:val="007466EB"/>
    <w:rsid w:val="00750C8B"/>
    <w:rsid w:val="00751ECF"/>
    <w:rsid w:val="00756FDF"/>
    <w:rsid w:val="00760AA3"/>
    <w:rsid w:val="007642AB"/>
    <w:rsid w:val="0076754A"/>
    <w:rsid w:val="00767F75"/>
    <w:rsid w:val="00770587"/>
    <w:rsid w:val="0077134A"/>
    <w:rsid w:val="0077250D"/>
    <w:rsid w:val="007737ED"/>
    <w:rsid w:val="00773A4C"/>
    <w:rsid w:val="00773EC7"/>
    <w:rsid w:val="0077494D"/>
    <w:rsid w:val="0077585C"/>
    <w:rsid w:val="00780F28"/>
    <w:rsid w:val="00780FE2"/>
    <w:rsid w:val="00781379"/>
    <w:rsid w:val="00790650"/>
    <w:rsid w:val="00793FFD"/>
    <w:rsid w:val="00795EDB"/>
    <w:rsid w:val="0079747B"/>
    <w:rsid w:val="007A2B10"/>
    <w:rsid w:val="007A6F99"/>
    <w:rsid w:val="007A7B43"/>
    <w:rsid w:val="007B0809"/>
    <w:rsid w:val="007B4198"/>
    <w:rsid w:val="007B4AB9"/>
    <w:rsid w:val="007B7F89"/>
    <w:rsid w:val="007C243E"/>
    <w:rsid w:val="007C67AE"/>
    <w:rsid w:val="007C7673"/>
    <w:rsid w:val="007E152F"/>
    <w:rsid w:val="007E1958"/>
    <w:rsid w:val="007E2233"/>
    <w:rsid w:val="007E2599"/>
    <w:rsid w:val="007E63F4"/>
    <w:rsid w:val="007E70D3"/>
    <w:rsid w:val="007F1EC8"/>
    <w:rsid w:val="007F2105"/>
    <w:rsid w:val="007F2788"/>
    <w:rsid w:val="007F2A79"/>
    <w:rsid w:val="007F2F59"/>
    <w:rsid w:val="007F6136"/>
    <w:rsid w:val="00801B98"/>
    <w:rsid w:val="00803D5F"/>
    <w:rsid w:val="008158AE"/>
    <w:rsid w:val="00815E71"/>
    <w:rsid w:val="00817335"/>
    <w:rsid w:val="00823B64"/>
    <w:rsid w:val="0082640E"/>
    <w:rsid w:val="008308E3"/>
    <w:rsid w:val="00831A46"/>
    <w:rsid w:val="00832D91"/>
    <w:rsid w:val="00835026"/>
    <w:rsid w:val="0084352B"/>
    <w:rsid w:val="008441B4"/>
    <w:rsid w:val="00844C0B"/>
    <w:rsid w:val="0084556E"/>
    <w:rsid w:val="00846630"/>
    <w:rsid w:val="008466B6"/>
    <w:rsid w:val="00850585"/>
    <w:rsid w:val="00852D6F"/>
    <w:rsid w:val="00853934"/>
    <w:rsid w:val="00853A05"/>
    <w:rsid w:val="00856B02"/>
    <w:rsid w:val="00860CC6"/>
    <w:rsid w:val="008614CD"/>
    <w:rsid w:val="00864D5A"/>
    <w:rsid w:val="008712AE"/>
    <w:rsid w:val="00873645"/>
    <w:rsid w:val="0087576F"/>
    <w:rsid w:val="0087674E"/>
    <w:rsid w:val="00881576"/>
    <w:rsid w:val="00882959"/>
    <w:rsid w:val="00884A5F"/>
    <w:rsid w:val="0088535C"/>
    <w:rsid w:val="00886426"/>
    <w:rsid w:val="00887DD1"/>
    <w:rsid w:val="00890358"/>
    <w:rsid w:val="008903F6"/>
    <w:rsid w:val="00893232"/>
    <w:rsid w:val="008938D1"/>
    <w:rsid w:val="00895DD0"/>
    <w:rsid w:val="008A05D2"/>
    <w:rsid w:val="008A183D"/>
    <w:rsid w:val="008A2904"/>
    <w:rsid w:val="008A3E13"/>
    <w:rsid w:val="008A3E37"/>
    <w:rsid w:val="008A4AEA"/>
    <w:rsid w:val="008B264A"/>
    <w:rsid w:val="008B43B1"/>
    <w:rsid w:val="008B4852"/>
    <w:rsid w:val="008B4CC8"/>
    <w:rsid w:val="008C0A42"/>
    <w:rsid w:val="008C1CA3"/>
    <w:rsid w:val="008C1CD4"/>
    <w:rsid w:val="008C2E11"/>
    <w:rsid w:val="008C3B2B"/>
    <w:rsid w:val="008C536F"/>
    <w:rsid w:val="008C67F7"/>
    <w:rsid w:val="008C77C8"/>
    <w:rsid w:val="008D05EC"/>
    <w:rsid w:val="008D28C7"/>
    <w:rsid w:val="008D3A91"/>
    <w:rsid w:val="008D4CA6"/>
    <w:rsid w:val="008D53FB"/>
    <w:rsid w:val="008D551E"/>
    <w:rsid w:val="008D6478"/>
    <w:rsid w:val="008D7869"/>
    <w:rsid w:val="008E0324"/>
    <w:rsid w:val="008E29CD"/>
    <w:rsid w:val="008E547A"/>
    <w:rsid w:val="008E655D"/>
    <w:rsid w:val="008E68F0"/>
    <w:rsid w:val="008E7FF2"/>
    <w:rsid w:val="008F0C8F"/>
    <w:rsid w:val="008F2F58"/>
    <w:rsid w:val="008F5E0C"/>
    <w:rsid w:val="00900F75"/>
    <w:rsid w:val="00902E36"/>
    <w:rsid w:val="00903060"/>
    <w:rsid w:val="00903EE6"/>
    <w:rsid w:val="00904BC5"/>
    <w:rsid w:val="009058C8"/>
    <w:rsid w:val="00907242"/>
    <w:rsid w:val="009109E0"/>
    <w:rsid w:val="009238EF"/>
    <w:rsid w:val="00924A0F"/>
    <w:rsid w:val="00925239"/>
    <w:rsid w:val="00926475"/>
    <w:rsid w:val="009269A8"/>
    <w:rsid w:val="00934A9E"/>
    <w:rsid w:val="009402E4"/>
    <w:rsid w:val="00941C81"/>
    <w:rsid w:val="00942BD1"/>
    <w:rsid w:val="00944328"/>
    <w:rsid w:val="00951B94"/>
    <w:rsid w:val="00951E0A"/>
    <w:rsid w:val="00954950"/>
    <w:rsid w:val="00954976"/>
    <w:rsid w:val="009551C3"/>
    <w:rsid w:val="0095521E"/>
    <w:rsid w:val="00961064"/>
    <w:rsid w:val="009633BB"/>
    <w:rsid w:val="00965104"/>
    <w:rsid w:val="00965A76"/>
    <w:rsid w:val="0096697F"/>
    <w:rsid w:val="0097020D"/>
    <w:rsid w:val="0097024B"/>
    <w:rsid w:val="00972EDA"/>
    <w:rsid w:val="0097491F"/>
    <w:rsid w:val="00975438"/>
    <w:rsid w:val="00975C60"/>
    <w:rsid w:val="00977C2E"/>
    <w:rsid w:val="00977C3F"/>
    <w:rsid w:val="0098037B"/>
    <w:rsid w:val="00980F3B"/>
    <w:rsid w:val="009821D2"/>
    <w:rsid w:val="00982984"/>
    <w:rsid w:val="00982D23"/>
    <w:rsid w:val="009851AB"/>
    <w:rsid w:val="00993925"/>
    <w:rsid w:val="00993AA2"/>
    <w:rsid w:val="009942D1"/>
    <w:rsid w:val="00996171"/>
    <w:rsid w:val="00997B2A"/>
    <w:rsid w:val="009A0925"/>
    <w:rsid w:val="009A35CB"/>
    <w:rsid w:val="009A4F02"/>
    <w:rsid w:val="009A79F3"/>
    <w:rsid w:val="009A7D13"/>
    <w:rsid w:val="009B015B"/>
    <w:rsid w:val="009B2517"/>
    <w:rsid w:val="009B25BB"/>
    <w:rsid w:val="009B2681"/>
    <w:rsid w:val="009B68F4"/>
    <w:rsid w:val="009B7249"/>
    <w:rsid w:val="009B73D7"/>
    <w:rsid w:val="009C1871"/>
    <w:rsid w:val="009C4618"/>
    <w:rsid w:val="009C5B11"/>
    <w:rsid w:val="009D4750"/>
    <w:rsid w:val="009D534E"/>
    <w:rsid w:val="009D5EAC"/>
    <w:rsid w:val="009E07CA"/>
    <w:rsid w:val="009E1C64"/>
    <w:rsid w:val="009E22A9"/>
    <w:rsid w:val="009E3CC3"/>
    <w:rsid w:val="009E5C48"/>
    <w:rsid w:val="009F3B1A"/>
    <w:rsid w:val="009F5501"/>
    <w:rsid w:val="009F6228"/>
    <w:rsid w:val="009F733E"/>
    <w:rsid w:val="00A00582"/>
    <w:rsid w:val="00A00BD2"/>
    <w:rsid w:val="00A01640"/>
    <w:rsid w:val="00A069C8"/>
    <w:rsid w:val="00A11447"/>
    <w:rsid w:val="00A14B1E"/>
    <w:rsid w:val="00A15E76"/>
    <w:rsid w:val="00A1780E"/>
    <w:rsid w:val="00A205CA"/>
    <w:rsid w:val="00A23145"/>
    <w:rsid w:val="00A23F80"/>
    <w:rsid w:val="00A310B2"/>
    <w:rsid w:val="00A34387"/>
    <w:rsid w:val="00A37214"/>
    <w:rsid w:val="00A40CEA"/>
    <w:rsid w:val="00A426E5"/>
    <w:rsid w:val="00A43933"/>
    <w:rsid w:val="00A47642"/>
    <w:rsid w:val="00A502AD"/>
    <w:rsid w:val="00A50ADD"/>
    <w:rsid w:val="00A514F2"/>
    <w:rsid w:val="00A56215"/>
    <w:rsid w:val="00A614A1"/>
    <w:rsid w:val="00A6251E"/>
    <w:rsid w:val="00A64AA8"/>
    <w:rsid w:val="00A70AA9"/>
    <w:rsid w:val="00A72561"/>
    <w:rsid w:val="00A725FD"/>
    <w:rsid w:val="00A72D03"/>
    <w:rsid w:val="00A74550"/>
    <w:rsid w:val="00A77357"/>
    <w:rsid w:val="00A775AC"/>
    <w:rsid w:val="00A83E91"/>
    <w:rsid w:val="00A84492"/>
    <w:rsid w:val="00A84A77"/>
    <w:rsid w:val="00A85B65"/>
    <w:rsid w:val="00A876CF"/>
    <w:rsid w:val="00A877F7"/>
    <w:rsid w:val="00A97C87"/>
    <w:rsid w:val="00AB0BAE"/>
    <w:rsid w:val="00AB1556"/>
    <w:rsid w:val="00AB33A8"/>
    <w:rsid w:val="00AB55D5"/>
    <w:rsid w:val="00AB5A5F"/>
    <w:rsid w:val="00AC05B0"/>
    <w:rsid w:val="00AC17EA"/>
    <w:rsid w:val="00AC1BDE"/>
    <w:rsid w:val="00AC4871"/>
    <w:rsid w:val="00AC4C95"/>
    <w:rsid w:val="00AC4FD8"/>
    <w:rsid w:val="00AC53FB"/>
    <w:rsid w:val="00AC7C70"/>
    <w:rsid w:val="00AD25F2"/>
    <w:rsid w:val="00AD2F77"/>
    <w:rsid w:val="00AD4480"/>
    <w:rsid w:val="00AD4DF8"/>
    <w:rsid w:val="00AE01C0"/>
    <w:rsid w:val="00AE53D1"/>
    <w:rsid w:val="00AE5A1E"/>
    <w:rsid w:val="00AE7F3C"/>
    <w:rsid w:val="00AF04FB"/>
    <w:rsid w:val="00AF16F2"/>
    <w:rsid w:val="00AF1FF2"/>
    <w:rsid w:val="00AF2661"/>
    <w:rsid w:val="00AF6441"/>
    <w:rsid w:val="00B1049A"/>
    <w:rsid w:val="00B11F5E"/>
    <w:rsid w:val="00B13B8A"/>
    <w:rsid w:val="00B14BD5"/>
    <w:rsid w:val="00B17631"/>
    <w:rsid w:val="00B25384"/>
    <w:rsid w:val="00B26253"/>
    <w:rsid w:val="00B3268E"/>
    <w:rsid w:val="00B3329E"/>
    <w:rsid w:val="00B337C0"/>
    <w:rsid w:val="00B344DD"/>
    <w:rsid w:val="00B35701"/>
    <w:rsid w:val="00B358AD"/>
    <w:rsid w:val="00B36E1E"/>
    <w:rsid w:val="00B41A1E"/>
    <w:rsid w:val="00B42F00"/>
    <w:rsid w:val="00B4309A"/>
    <w:rsid w:val="00B4350D"/>
    <w:rsid w:val="00B451C6"/>
    <w:rsid w:val="00B45E31"/>
    <w:rsid w:val="00B46EB2"/>
    <w:rsid w:val="00B52FE7"/>
    <w:rsid w:val="00B538BB"/>
    <w:rsid w:val="00B5648B"/>
    <w:rsid w:val="00B57C22"/>
    <w:rsid w:val="00B621EF"/>
    <w:rsid w:val="00B646C3"/>
    <w:rsid w:val="00B713C6"/>
    <w:rsid w:val="00B71E77"/>
    <w:rsid w:val="00B741B2"/>
    <w:rsid w:val="00B828D8"/>
    <w:rsid w:val="00B87204"/>
    <w:rsid w:val="00B87CFF"/>
    <w:rsid w:val="00B929C3"/>
    <w:rsid w:val="00BA4F6E"/>
    <w:rsid w:val="00BA699E"/>
    <w:rsid w:val="00BB1862"/>
    <w:rsid w:val="00BB45DA"/>
    <w:rsid w:val="00BC06F5"/>
    <w:rsid w:val="00BC2730"/>
    <w:rsid w:val="00BC4C62"/>
    <w:rsid w:val="00BD3E22"/>
    <w:rsid w:val="00BD41C2"/>
    <w:rsid w:val="00BD5D5D"/>
    <w:rsid w:val="00BE0053"/>
    <w:rsid w:val="00BE3BD0"/>
    <w:rsid w:val="00BE6E5D"/>
    <w:rsid w:val="00BF0CA8"/>
    <w:rsid w:val="00BF138A"/>
    <w:rsid w:val="00BF578F"/>
    <w:rsid w:val="00BF58CC"/>
    <w:rsid w:val="00C036D1"/>
    <w:rsid w:val="00C0466F"/>
    <w:rsid w:val="00C04BC6"/>
    <w:rsid w:val="00C06E78"/>
    <w:rsid w:val="00C1135B"/>
    <w:rsid w:val="00C135CC"/>
    <w:rsid w:val="00C215F2"/>
    <w:rsid w:val="00C22F7B"/>
    <w:rsid w:val="00C22FBD"/>
    <w:rsid w:val="00C23AAF"/>
    <w:rsid w:val="00C2477C"/>
    <w:rsid w:val="00C26EB3"/>
    <w:rsid w:val="00C30869"/>
    <w:rsid w:val="00C31883"/>
    <w:rsid w:val="00C33C70"/>
    <w:rsid w:val="00C35715"/>
    <w:rsid w:val="00C35F19"/>
    <w:rsid w:val="00C430CE"/>
    <w:rsid w:val="00C4369B"/>
    <w:rsid w:val="00C44503"/>
    <w:rsid w:val="00C446F9"/>
    <w:rsid w:val="00C45505"/>
    <w:rsid w:val="00C464D1"/>
    <w:rsid w:val="00C47231"/>
    <w:rsid w:val="00C50013"/>
    <w:rsid w:val="00C52FD1"/>
    <w:rsid w:val="00C55434"/>
    <w:rsid w:val="00C55BD5"/>
    <w:rsid w:val="00C56CA9"/>
    <w:rsid w:val="00C57875"/>
    <w:rsid w:val="00C62ABD"/>
    <w:rsid w:val="00C63461"/>
    <w:rsid w:val="00C63DA0"/>
    <w:rsid w:val="00C64215"/>
    <w:rsid w:val="00C65F32"/>
    <w:rsid w:val="00C663BB"/>
    <w:rsid w:val="00C679FC"/>
    <w:rsid w:val="00C73433"/>
    <w:rsid w:val="00C74F7B"/>
    <w:rsid w:val="00C75D5D"/>
    <w:rsid w:val="00C77B0F"/>
    <w:rsid w:val="00C822C7"/>
    <w:rsid w:val="00C8315D"/>
    <w:rsid w:val="00C8331E"/>
    <w:rsid w:val="00C8507A"/>
    <w:rsid w:val="00C94CDA"/>
    <w:rsid w:val="00C95C10"/>
    <w:rsid w:val="00C97176"/>
    <w:rsid w:val="00CA1D9A"/>
    <w:rsid w:val="00CA2336"/>
    <w:rsid w:val="00CA2821"/>
    <w:rsid w:val="00CA2C73"/>
    <w:rsid w:val="00CA40B2"/>
    <w:rsid w:val="00CA4DFE"/>
    <w:rsid w:val="00CA7F11"/>
    <w:rsid w:val="00CB128C"/>
    <w:rsid w:val="00CB6EB3"/>
    <w:rsid w:val="00CC23F3"/>
    <w:rsid w:val="00CC4592"/>
    <w:rsid w:val="00CC4985"/>
    <w:rsid w:val="00CC50A8"/>
    <w:rsid w:val="00CC6150"/>
    <w:rsid w:val="00CC646B"/>
    <w:rsid w:val="00CC72C6"/>
    <w:rsid w:val="00CD07C7"/>
    <w:rsid w:val="00CD10CB"/>
    <w:rsid w:val="00CD4D76"/>
    <w:rsid w:val="00CD6240"/>
    <w:rsid w:val="00CD7741"/>
    <w:rsid w:val="00CE50D4"/>
    <w:rsid w:val="00CF2057"/>
    <w:rsid w:val="00CF3077"/>
    <w:rsid w:val="00CF5155"/>
    <w:rsid w:val="00CF54B0"/>
    <w:rsid w:val="00CF66EB"/>
    <w:rsid w:val="00CF6D31"/>
    <w:rsid w:val="00CF7D7D"/>
    <w:rsid w:val="00D00D9C"/>
    <w:rsid w:val="00D01A97"/>
    <w:rsid w:val="00D03543"/>
    <w:rsid w:val="00D0670A"/>
    <w:rsid w:val="00D10088"/>
    <w:rsid w:val="00D11BF7"/>
    <w:rsid w:val="00D12715"/>
    <w:rsid w:val="00D137D0"/>
    <w:rsid w:val="00D17509"/>
    <w:rsid w:val="00D2006B"/>
    <w:rsid w:val="00D206FC"/>
    <w:rsid w:val="00D23829"/>
    <w:rsid w:val="00D243ED"/>
    <w:rsid w:val="00D25FB4"/>
    <w:rsid w:val="00D301FF"/>
    <w:rsid w:val="00D32C14"/>
    <w:rsid w:val="00D34710"/>
    <w:rsid w:val="00D42E0D"/>
    <w:rsid w:val="00D45886"/>
    <w:rsid w:val="00D45C2B"/>
    <w:rsid w:val="00D563DF"/>
    <w:rsid w:val="00D56C09"/>
    <w:rsid w:val="00D57436"/>
    <w:rsid w:val="00D65E51"/>
    <w:rsid w:val="00D65FEB"/>
    <w:rsid w:val="00D66208"/>
    <w:rsid w:val="00D66270"/>
    <w:rsid w:val="00D76485"/>
    <w:rsid w:val="00D76692"/>
    <w:rsid w:val="00D771A8"/>
    <w:rsid w:val="00D85D5E"/>
    <w:rsid w:val="00D8635A"/>
    <w:rsid w:val="00D9185F"/>
    <w:rsid w:val="00D92D30"/>
    <w:rsid w:val="00D93EE0"/>
    <w:rsid w:val="00D95816"/>
    <w:rsid w:val="00D959AC"/>
    <w:rsid w:val="00D95D26"/>
    <w:rsid w:val="00D9602F"/>
    <w:rsid w:val="00D96C96"/>
    <w:rsid w:val="00D97569"/>
    <w:rsid w:val="00D979BD"/>
    <w:rsid w:val="00D97C26"/>
    <w:rsid w:val="00D97F1F"/>
    <w:rsid w:val="00DA3987"/>
    <w:rsid w:val="00DA42DF"/>
    <w:rsid w:val="00DB03BE"/>
    <w:rsid w:val="00DB08AD"/>
    <w:rsid w:val="00DB12B4"/>
    <w:rsid w:val="00DB19A2"/>
    <w:rsid w:val="00DB1FAA"/>
    <w:rsid w:val="00DB4EF0"/>
    <w:rsid w:val="00DB7279"/>
    <w:rsid w:val="00DC2FB1"/>
    <w:rsid w:val="00DC5FCD"/>
    <w:rsid w:val="00DC6131"/>
    <w:rsid w:val="00DC6B35"/>
    <w:rsid w:val="00DD16BF"/>
    <w:rsid w:val="00DD20E2"/>
    <w:rsid w:val="00DD36EF"/>
    <w:rsid w:val="00DE0537"/>
    <w:rsid w:val="00DE3191"/>
    <w:rsid w:val="00DE59EB"/>
    <w:rsid w:val="00DF2348"/>
    <w:rsid w:val="00DF6C8D"/>
    <w:rsid w:val="00E001D0"/>
    <w:rsid w:val="00E00879"/>
    <w:rsid w:val="00E02452"/>
    <w:rsid w:val="00E04D19"/>
    <w:rsid w:val="00E05AD0"/>
    <w:rsid w:val="00E066D1"/>
    <w:rsid w:val="00E068E4"/>
    <w:rsid w:val="00E1384E"/>
    <w:rsid w:val="00E138F1"/>
    <w:rsid w:val="00E15F86"/>
    <w:rsid w:val="00E172BE"/>
    <w:rsid w:val="00E234D2"/>
    <w:rsid w:val="00E257D6"/>
    <w:rsid w:val="00E25DEC"/>
    <w:rsid w:val="00E25F60"/>
    <w:rsid w:val="00E27069"/>
    <w:rsid w:val="00E32F31"/>
    <w:rsid w:val="00E40653"/>
    <w:rsid w:val="00E44B7D"/>
    <w:rsid w:val="00E45093"/>
    <w:rsid w:val="00E45122"/>
    <w:rsid w:val="00E4561B"/>
    <w:rsid w:val="00E50212"/>
    <w:rsid w:val="00E50FCB"/>
    <w:rsid w:val="00E51904"/>
    <w:rsid w:val="00E537C7"/>
    <w:rsid w:val="00E55D5B"/>
    <w:rsid w:val="00E565B6"/>
    <w:rsid w:val="00E57112"/>
    <w:rsid w:val="00E619DA"/>
    <w:rsid w:val="00E61CB1"/>
    <w:rsid w:val="00E63A82"/>
    <w:rsid w:val="00E63B82"/>
    <w:rsid w:val="00E64173"/>
    <w:rsid w:val="00E673D9"/>
    <w:rsid w:val="00E7257C"/>
    <w:rsid w:val="00E76F0A"/>
    <w:rsid w:val="00E81575"/>
    <w:rsid w:val="00E83564"/>
    <w:rsid w:val="00E837B2"/>
    <w:rsid w:val="00E83ABA"/>
    <w:rsid w:val="00E86EC8"/>
    <w:rsid w:val="00E92373"/>
    <w:rsid w:val="00E9354D"/>
    <w:rsid w:val="00E97A1D"/>
    <w:rsid w:val="00EA2149"/>
    <w:rsid w:val="00EA6483"/>
    <w:rsid w:val="00EA79FF"/>
    <w:rsid w:val="00EA7DEE"/>
    <w:rsid w:val="00EB10EF"/>
    <w:rsid w:val="00EB16B3"/>
    <w:rsid w:val="00EB3F0C"/>
    <w:rsid w:val="00EB42F5"/>
    <w:rsid w:val="00EB7B2D"/>
    <w:rsid w:val="00EC020C"/>
    <w:rsid w:val="00EC1D6F"/>
    <w:rsid w:val="00EC2D43"/>
    <w:rsid w:val="00EC37D4"/>
    <w:rsid w:val="00EC6BD8"/>
    <w:rsid w:val="00EC7FC9"/>
    <w:rsid w:val="00ED1EB3"/>
    <w:rsid w:val="00ED3E67"/>
    <w:rsid w:val="00ED40B7"/>
    <w:rsid w:val="00ED6486"/>
    <w:rsid w:val="00EE060F"/>
    <w:rsid w:val="00EE5106"/>
    <w:rsid w:val="00EE59CC"/>
    <w:rsid w:val="00EE7D1F"/>
    <w:rsid w:val="00EF219E"/>
    <w:rsid w:val="00EF29EE"/>
    <w:rsid w:val="00EF3EB2"/>
    <w:rsid w:val="00EF4E60"/>
    <w:rsid w:val="00EF6B5F"/>
    <w:rsid w:val="00EF7A33"/>
    <w:rsid w:val="00F00E58"/>
    <w:rsid w:val="00F0113E"/>
    <w:rsid w:val="00F1176F"/>
    <w:rsid w:val="00F142CD"/>
    <w:rsid w:val="00F2214B"/>
    <w:rsid w:val="00F223EB"/>
    <w:rsid w:val="00F24ED6"/>
    <w:rsid w:val="00F2576D"/>
    <w:rsid w:val="00F25967"/>
    <w:rsid w:val="00F25D58"/>
    <w:rsid w:val="00F325A3"/>
    <w:rsid w:val="00F32FB5"/>
    <w:rsid w:val="00F3336E"/>
    <w:rsid w:val="00F33519"/>
    <w:rsid w:val="00F33814"/>
    <w:rsid w:val="00F33CE4"/>
    <w:rsid w:val="00F34DF6"/>
    <w:rsid w:val="00F35E1E"/>
    <w:rsid w:val="00F40DB5"/>
    <w:rsid w:val="00F4132F"/>
    <w:rsid w:val="00F421A1"/>
    <w:rsid w:val="00F43FC6"/>
    <w:rsid w:val="00F45635"/>
    <w:rsid w:val="00F456EA"/>
    <w:rsid w:val="00F457C3"/>
    <w:rsid w:val="00F4774A"/>
    <w:rsid w:val="00F53718"/>
    <w:rsid w:val="00F5448D"/>
    <w:rsid w:val="00F57A96"/>
    <w:rsid w:val="00F614F9"/>
    <w:rsid w:val="00F63431"/>
    <w:rsid w:val="00F641AC"/>
    <w:rsid w:val="00F64CF4"/>
    <w:rsid w:val="00F67350"/>
    <w:rsid w:val="00F72169"/>
    <w:rsid w:val="00F7589A"/>
    <w:rsid w:val="00F8109D"/>
    <w:rsid w:val="00F829C1"/>
    <w:rsid w:val="00F82B3D"/>
    <w:rsid w:val="00F9198C"/>
    <w:rsid w:val="00F93F70"/>
    <w:rsid w:val="00F97873"/>
    <w:rsid w:val="00FA321B"/>
    <w:rsid w:val="00FA55A0"/>
    <w:rsid w:val="00FA6530"/>
    <w:rsid w:val="00FA70F2"/>
    <w:rsid w:val="00FB1222"/>
    <w:rsid w:val="00FB1460"/>
    <w:rsid w:val="00FB2DEB"/>
    <w:rsid w:val="00FB541F"/>
    <w:rsid w:val="00FB5D68"/>
    <w:rsid w:val="00FB6270"/>
    <w:rsid w:val="00FC1D8A"/>
    <w:rsid w:val="00FC326C"/>
    <w:rsid w:val="00FC33E8"/>
    <w:rsid w:val="00FC36D4"/>
    <w:rsid w:val="00FC3CD4"/>
    <w:rsid w:val="00FC4CB0"/>
    <w:rsid w:val="00FC4DA2"/>
    <w:rsid w:val="00FC535A"/>
    <w:rsid w:val="00FC7F41"/>
    <w:rsid w:val="00FD1940"/>
    <w:rsid w:val="00FE10ED"/>
    <w:rsid w:val="00FE1E36"/>
    <w:rsid w:val="00FE370F"/>
    <w:rsid w:val="00FE64BB"/>
    <w:rsid w:val="00FE7FAC"/>
    <w:rsid w:val="00FF3666"/>
    <w:rsid w:val="00FF4732"/>
    <w:rsid w:val="00FF4D2F"/>
    <w:rsid w:val="00FF4EA7"/>
    <w:rsid w:val="00FF68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BB7D65-FDC0-4625-AC70-F76E723C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9FF"/>
  </w:style>
  <w:style w:type="paragraph" w:styleId="1">
    <w:name w:val="heading 1"/>
    <w:basedOn w:val="a"/>
    <w:next w:val="a"/>
    <w:link w:val="1Char"/>
    <w:uiPriority w:val="9"/>
    <w:qFormat/>
    <w:rsid w:val="002947E6"/>
    <w:pPr>
      <w:keepNext/>
      <w:keepLines/>
      <w:spacing w:before="400" w:after="40" w:line="240" w:lineRule="auto"/>
      <w:outlineLvl w:val="0"/>
    </w:pPr>
    <w:rPr>
      <w:rFonts w:ascii="Tahoma" w:eastAsiaTheme="majorEastAsia" w:hAnsi="Tahoma" w:cstheme="majorBidi"/>
      <w:b/>
      <w:color w:val="1F4E79" w:themeColor="accent1" w:themeShade="80"/>
      <w:sz w:val="28"/>
      <w:szCs w:val="36"/>
    </w:rPr>
  </w:style>
  <w:style w:type="paragraph" w:styleId="2">
    <w:name w:val="heading 2"/>
    <w:basedOn w:val="a"/>
    <w:next w:val="a"/>
    <w:link w:val="2Char"/>
    <w:uiPriority w:val="9"/>
    <w:unhideWhenUsed/>
    <w:qFormat/>
    <w:rsid w:val="00A426E5"/>
    <w:pPr>
      <w:keepNext/>
      <w:keepLines/>
      <w:spacing w:before="40" w:after="0" w:line="240" w:lineRule="auto"/>
      <w:outlineLvl w:val="1"/>
    </w:pPr>
    <w:rPr>
      <w:rFonts w:ascii="Tahoma" w:eastAsiaTheme="majorEastAsia" w:hAnsi="Tahoma" w:cstheme="majorBidi"/>
      <w:b/>
      <w:color w:val="2E74B5" w:themeColor="accent1" w:themeShade="BF"/>
      <w:szCs w:val="32"/>
    </w:rPr>
  </w:style>
  <w:style w:type="paragraph" w:styleId="3">
    <w:name w:val="heading 3"/>
    <w:basedOn w:val="a"/>
    <w:next w:val="a"/>
    <w:link w:val="3Char"/>
    <w:uiPriority w:val="9"/>
    <w:unhideWhenUsed/>
    <w:qFormat/>
    <w:rsid w:val="00A426E5"/>
    <w:pPr>
      <w:keepNext/>
      <w:keepLines/>
      <w:spacing w:before="40" w:after="0" w:line="240" w:lineRule="auto"/>
      <w:outlineLvl w:val="2"/>
    </w:pPr>
    <w:rPr>
      <w:rFonts w:ascii="Tahoma" w:eastAsiaTheme="majorEastAsia" w:hAnsi="Tahoma" w:cstheme="majorBidi"/>
      <w:b/>
      <w:color w:val="2E74B5" w:themeColor="accent1" w:themeShade="BF"/>
      <w:szCs w:val="28"/>
    </w:rPr>
  </w:style>
  <w:style w:type="paragraph" w:styleId="4">
    <w:name w:val="heading 4"/>
    <w:basedOn w:val="a"/>
    <w:next w:val="a"/>
    <w:link w:val="4Char"/>
    <w:uiPriority w:val="9"/>
    <w:semiHidden/>
    <w:unhideWhenUsed/>
    <w:qFormat/>
    <w:rsid w:val="00EA79F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5">
    <w:name w:val="heading 5"/>
    <w:basedOn w:val="a"/>
    <w:next w:val="a"/>
    <w:link w:val="5Char"/>
    <w:uiPriority w:val="9"/>
    <w:semiHidden/>
    <w:unhideWhenUsed/>
    <w:qFormat/>
    <w:rsid w:val="00EA79F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6">
    <w:name w:val="heading 6"/>
    <w:basedOn w:val="a"/>
    <w:next w:val="a"/>
    <w:link w:val="6Char"/>
    <w:uiPriority w:val="9"/>
    <w:semiHidden/>
    <w:unhideWhenUsed/>
    <w:qFormat/>
    <w:rsid w:val="00EA79F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7">
    <w:name w:val="heading 7"/>
    <w:basedOn w:val="a"/>
    <w:next w:val="a"/>
    <w:link w:val="7Char"/>
    <w:uiPriority w:val="9"/>
    <w:semiHidden/>
    <w:unhideWhenUsed/>
    <w:qFormat/>
    <w:rsid w:val="00EA79F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8">
    <w:name w:val="heading 8"/>
    <w:basedOn w:val="a"/>
    <w:next w:val="a"/>
    <w:link w:val="8Char"/>
    <w:uiPriority w:val="9"/>
    <w:semiHidden/>
    <w:unhideWhenUsed/>
    <w:qFormat/>
    <w:rsid w:val="00EA79F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9">
    <w:name w:val="heading 9"/>
    <w:basedOn w:val="a"/>
    <w:next w:val="a"/>
    <w:link w:val="9Char"/>
    <w:uiPriority w:val="9"/>
    <w:semiHidden/>
    <w:unhideWhenUsed/>
    <w:qFormat/>
    <w:rsid w:val="00EA79F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DD1"/>
    <w:pPr>
      <w:ind w:left="720"/>
      <w:contextualSpacing/>
    </w:pPr>
  </w:style>
  <w:style w:type="character" w:styleId="a4">
    <w:name w:val="Hyperlink"/>
    <w:basedOn w:val="a0"/>
    <w:uiPriority w:val="99"/>
    <w:unhideWhenUsed/>
    <w:rsid w:val="007B0809"/>
    <w:rPr>
      <w:color w:val="0563C1" w:themeColor="hyperlink"/>
      <w:u w:val="single"/>
    </w:rPr>
  </w:style>
  <w:style w:type="character" w:styleId="a5">
    <w:name w:val="Placeholder Text"/>
    <w:basedOn w:val="a0"/>
    <w:uiPriority w:val="99"/>
    <w:semiHidden/>
    <w:rsid w:val="00A34387"/>
    <w:rPr>
      <w:color w:val="808080"/>
    </w:rPr>
  </w:style>
  <w:style w:type="character" w:styleId="a6">
    <w:name w:val="Strong"/>
    <w:basedOn w:val="a0"/>
    <w:uiPriority w:val="22"/>
    <w:qFormat/>
    <w:rsid w:val="00EA79FF"/>
    <w:rPr>
      <w:b/>
      <w:bCs/>
    </w:rPr>
  </w:style>
  <w:style w:type="character" w:customStyle="1" w:styleId="1Char">
    <w:name w:val="标题 1 Char"/>
    <w:basedOn w:val="a0"/>
    <w:link w:val="1"/>
    <w:uiPriority w:val="9"/>
    <w:rsid w:val="002947E6"/>
    <w:rPr>
      <w:rFonts w:ascii="Tahoma" w:eastAsiaTheme="majorEastAsia" w:hAnsi="Tahoma" w:cstheme="majorBidi"/>
      <w:b/>
      <w:color w:val="1F4E79" w:themeColor="accent1" w:themeShade="80"/>
      <w:sz w:val="28"/>
      <w:szCs w:val="36"/>
    </w:rPr>
  </w:style>
  <w:style w:type="paragraph" w:customStyle="1" w:styleId="text13">
    <w:name w:val="text13"/>
    <w:basedOn w:val="a"/>
    <w:rsid w:val="00B45E31"/>
    <w:pPr>
      <w:spacing w:before="100" w:beforeAutospacing="1" w:after="100" w:afterAutospacing="1"/>
    </w:pPr>
  </w:style>
  <w:style w:type="character" w:customStyle="1" w:styleId="pl6">
    <w:name w:val="pl6"/>
    <w:basedOn w:val="a0"/>
    <w:rsid w:val="00B45E31"/>
  </w:style>
  <w:style w:type="character" w:customStyle="1" w:styleId="js-separator">
    <w:name w:val="js-separator"/>
    <w:basedOn w:val="a0"/>
    <w:rsid w:val="00B45E31"/>
  </w:style>
  <w:style w:type="paragraph" w:customStyle="1" w:styleId="text14">
    <w:name w:val="text14"/>
    <w:basedOn w:val="a"/>
    <w:rsid w:val="00B45E31"/>
    <w:pPr>
      <w:spacing w:before="100" w:beforeAutospacing="1" w:after="100" w:afterAutospacing="1"/>
    </w:pPr>
  </w:style>
  <w:style w:type="character" w:customStyle="1" w:styleId="visually-hidden">
    <w:name w:val="visually-hidden"/>
    <w:basedOn w:val="a0"/>
    <w:rsid w:val="00B45E31"/>
  </w:style>
  <w:style w:type="character" w:styleId="a7">
    <w:name w:val="FollowedHyperlink"/>
    <w:basedOn w:val="a0"/>
    <w:uiPriority w:val="99"/>
    <w:semiHidden/>
    <w:unhideWhenUsed/>
    <w:rsid w:val="00B45E31"/>
    <w:rPr>
      <w:color w:val="954F72" w:themeColor="followedHyperlink"/>
      <w:u w:val="single"/>
    </w:rPr>
  </w:style>
  <w:style w:type="paragraph" w:styleId="a8">
    <w:name w:val="Balloon Text"/>
    <w:basedOn w:val="a"/>
    <w:link w:val="Char"/>
    <w:uiPriority w:val="99"/>
    <w:semiHidden/>
    <w:unhideWhenUsed/>
    <w:rsid w:val="0076754A"/>
    <w:rPr>
      <w:rFonts w:ascii="Segoe UI" w:hAnsi="Segoe UI" w:cs="Segoe UI"/>
      <w:sz w:val="18"/>
      <w:szCs w:val="18"/>
    </w:rPr>
  </w:style>
  <w:style w:type="character" w:customStyle="1" w:styleId="Char">
    <w:name w:val="批注框文本 Char"/>
    <w:basedOn w:val="a0"/>
    <w:link w:val="a8"/>
    <w:uiPriority w:val="99"/>
    <w:semiHidden/>
    <w:rsid w:val="0076754A"/>
    <w:rPr>
      <w:rFonts w:ascii="Segoe UI" w:eastAsia="Times New Roman" w:hAnsi="Segoe UI" w:cs="Segoe UI"/>
      <w:sz w:val="18"/>
      <w:szCs w:val="18"/>
    </w:rPr>
  </w:style>
  <w:style w:type="table" w:styleId="a9">
    <w:name w:val="Table Grid"/>
    <w:basedOn w:val="a1"/>
    <w:uiPriority w:val="39"/>
    <w:rsid w:val="00AB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A79FF"/>
    <w:pPr>
      <w:spacing w:after="0" w:line="240" w:lineRule="auto"/>
    </w:pPr>
  </w:style>
  <w:style w:type="character" w:customStyle="1" w:styleId="2Char">
    <w:name w:val="标题 2 Char"/>
    <w:basedOn w:val="a0"/>
    <w:link w:val="2"/>
    <w:uiPriority w:val="9"/>
    <w:rsid w:val="00A426E5"/>
    <w:rPr>
      <w:rFonts w:ascii="Tahoma" w:eastAsiaTheme="majorEastAsia" w:hAnsi="Tahoma" w:cstheme="majorBidi"/>
      <w:b/>
      <w:color w:val="2E74B5" w:themeColor="accent1" w:themeShade="BF"/>
      <w:szCs w:val="32"/>
    </w:rPr>
  </w:style>
  <w:style w:type="character" w:customStyle="1" w:styleId="3Char">
    <w:name w:val="标题 3 Char"/>
    <w:basedOn w:val="a0"/>
    <w:link w:val="3"/>
    <w:uiPriority w:val="9"/>
    <w:rsid w:val="00A426E5"/>
    <w:rPr>
      <w:rFonts w:ascii="Tahoma" w:eastAsiaTheme="majorEastAsia" w:hAnsi="Tahoma" w:cstheme="majorBidi"/>
      <w:b/>
      <w:color w:val="2E74B5" w:themeColor="accent1" w:themeShade="BF"/>
      <w:szCs w:val="28"/>
    </w:rPr>
  </w:style>
  <w:style w:type="character" w:customStyle="1" w:styleId="4Char">
    <w:name w:val="标题 4 Char"/>
    <w:basedOn w:val="a0"/>
    <w:link w:val="4"/>
    <w:uiPriority w:val="9"/>
    <w:semiHidden/>
    <w:rsid w:val="00EA79FF"/>
    <w:rPr>
      <w:rFonts w:asciiTheme="majorHAnsi" w:eastAsiaTheme="majorEastAsia" w:hAnsiTheme="majorHAnsi" w:cstheme="majorBidi"/>
      <w:color w:val="2E74B5" w:themeColor="accent1" w:themeShade="BF"/>
      <w:sz w:val="24"/>
      <w:szCs w:val="24"/>
    </w:rPr>
  </w:style>
  <w:style w:type="character" w:customStyle="1" w:styleId="5Char">
    <w:name w:val="标题 5 Char"/>
    <w:basedOn w:val="a0"/>
    <w:link w:val="5"/>
    <w:uiPriority w:val="9"/>
    <w:semiHidden/>
    <w:rsid w:val="00EA79FF"/>
    <w:rPr>
      <w:rFonts w:asciiTheme="majorHAnsi" w:eastAsiaTheme="majorEastAsia" w:hAnsiTheme="majorHAnsi" w:cstheme="majorBidi"/>
      <w:caps/>
      <w:color w:val="2E74B5" w:themeColor="accent1" w:themeShade="BF"/>
    </w:rPr>
  </w:style>
  <w:style w:type="character" w:customStyle="1" w:styleId="6Char">
    <w:name w:val="标题 6 Char"/>
    <w:basedOn w:val="a0"/>
    <w:link w:val="6"/>
    <w:uiPriority w:val="9"/>
    <w:semiHidden/>
    <w:rsid w:val="00EA79FF"/>
    <w:rPr>
      <w:rFonts w:asciiTheme="majorHAnsi" w:eastAsiaTheme="majorEastAsia" w:hAnsiTheme="majorHAnsi" w:cstheme="majorBidi"/>
      <w:i/>
      <w:iCs/>
      <w:caps/>
      <w:color w:val="1F4E79" w:themeColor="accent1" w:themeShade="80"/>
    </w:rPr>
  </w:style>
  <w:style w:type="character" w:customStyle="1" w:styleId="7Char">
    <w:name w:val="标题 7 Char"/>
    <w:basedOn w:val="a0"/>
    <w:link w:val="7"/>
    <w:uiPriority w:val="9"/>
    <w:semiHidden/>
    <w:rsid w:val="00EA79FF"/>
    <w:rPr>
      <w:rFonts w:asciiTheme="majorHAnsi" w:eastAsiaTheme="majorEastAsia" w:hAnsiTheme="majorHAnsi" w:cstheme="majorBidi"/>
      <w:b/>
      <w:bCs/>
      <w:color w:val="1F4E79" w:themeColor="accent1" w:themeShade="80"/>
    </w:rPr>
  </w:style>
  <w:style w:type="character" w:customStyle="1" w:styleId="8Char">
    <w:name w:val="标题 8 Char"/>
    <w:basedOn w:val="a0"/>
    <w:link w:val="8"/>
    <w:uiPriority w:val="9"/>
    <w:semiHidden/>
    <w:rsid w:val="00EA79FF"/>
    <w:rPr>
      <w:rFonts w:asciiTheme="majorHAnsi" w:eastAsiaTheme="majorEastAsia" w:hAnsiTheme="majorHAnsi" w:cstheme="majorBidi"/>
      <w:b/>
      <w:bCs/>
      <w:i/>
      <w:iCs/>
      <w:color w:val="1F4E79" w:themeColor="accent1" w:themeShade="80"/>
    </w:rPr>
  </w:style>
  <w:style w:type="character" w:customStyle="1" w:styleId="9Char">
    <w:name w:val="标题 9 Char"/>
    <w:basedOn w:val="a0"/>
    <w:link w:val="9"/>
    <w:uiPriority w:val="9"/>
    <w:semiHidden/>
    <w:rsid w:val="00EA79FF"/>
    <w:rPr>
      <w:rFonts w:asciiTheme="majorHAnsi" w:eastAsiaTheme="majorEastAsia" w:hAnsiTheme="majorHAnsi" w:cstheme="majorBidi"/>
      <w:i/>
      <w:iCs/>
      <w:color w:val="1F4E79" w:themeColor="accent1" w:themeShade="80"/>
    </w:rPr>
  </w:style>
  <w:style w:type="paragraph" w:styleId="ab">
    <w:name w:val="caption"/>
    <w:basedOn w:val="a"/>
    <w:next w:val="a"/>
    <w:link w:val="Char0"/>
    <w:uiPriority w:val="35"/>
    <w:unhideWhenUsed/>
    <w:qFormat/>
    <w:rsid w:val="00E97A1D"/>
    <w:pPr>
      <w:spacing w:line="240" w:lineRule="auto"/>
    </w:pPr>
    <w:rPr>
      <w:rFonts w:ascii="Tahoma" w:hAnsi="Tahoma"/>
      <w:bCs/>
      <w:sz w:val="18"/>
    </w:rPr>
  </w:style>
  <w:style w:type="paragraph" w:styleId="ac">
    <w:name w:val="Title"/>
    <w:basedOn w:val="a"/>
    <w:next w:val="a"/>
    <w:link w:val="Char1"/>
    <w:uiPriority w:val="10"/>
    <w:qFormat/>
    <w:rsid w:val="00EA79F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Char1">
    <w:name w:val="标题 Char"/>
    <w:basedOn w:val="a0"/>
    <w:link w:val="ac"/>
    <w:uiPriority w:val="10"/>
    <w:rsid w:val="00EA79FF"/>
    <w:rPr>
      <w:rFonts w:asciiTheme="majorHAnsi" w:eastAsiaTheme="majorEastAsia" w:hAnsiTheme="majorHAnsi" w:cstheme="majorBidi"/>
      <w:caps/>
      <w:color w:val="44546A" w:themeColor="text2"/>
      <w:spacing w:val="-15"/>
      <w:sz w:val="72"/>
      <w:szCs w:val="72"/>
    </w:rPr>
  </w:style>
  <w:style w:type="paragraph" w:styleId="ad">
    <w:name w:val="Subtitle"/>
    <w:basedOn w:val="a"/>
    <w:next w:val="a"/>
    <w:link w:val="Char2"/>
    <w:uiPriority w:val="11"/>
    <w:qFormat/>
    <w:rsid w:val="00EA79F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Char2">
    <w:name w:val="副标题 Char"/>
    <w:basedOn w:val="a0"/>
    <w:link w:val="ad"/>
    <w:uiPriority w:val="11"/>
    <w:rsid w:val="00EA79FF"/>
    <w:rPr>
      <w:rFonts w:asciiTheme="majorHAnsi" w:eastAsiaTheme="majorEastAsia" w:hAnsiTheme="majorHAnsi" w:cstheme="majorBidi"/>
      <w:color w:val="5B9BD5" w:themeColor="accent1"/>
      <w:sz w:val="28"/>
      <w:szCs w:val="28"/>
    </w:rPr>
  </w:style>
  <w:style w:type="character" w:styleId="ae">
    <w:name w:val="Emphasis"/>
    <w:basedOn w:val="a0"/>
    <w:uiPriority w:val="20"/>
    <w:qFormat/>
    <w:rsid w:val="00EA79FF"/>
    <w:rPr>
      <w:i/>
      <w:iCs/>
    </w:rPr>
  </w:style>
  <w:style w:type="paragraph" w:styleId="af">
    <w:name w:val="Quote"/>
    <w:basedOn w:val="a"/>
    <w:next w:val="a"/>
    <w:link w:val="Char3"/>
    <w:uiPriority w:val="29"/>
    <w:qFormat/>
    <w:rsid w:val="00EA79FF"/>
    <w:pPr>
      <w:spacing w:before="120" w:after="120"/>
      <w:ind w:left="720"/>
    </w:pPr>
    <w:rPr>
      <w:color w:val="44546A" w:themeColor="text2"/>
      <w:sz w:val="24"/>
      <w:szCs w:val="24"/>
    </w:rPr>
  </w:style>
  <w:style w:type="character" w:customStyle="1" w:styleId="Char3">
    <w:name w:val="引用 Char"/>
    <w:basedOn w:val="a0"/>
    <w:link w:val="af"/>
    <w:uiPriority w:val="29"/>
    <w:rsid w:val="00EA79FF"/>
    <w:rPr>
      <w:color w:val="44546A" w:themeColor="text2"/>
      <w:sz w:val="24"/>
      <w:szCs w:val="24"/>
    </w:rPr>
  </w:style>
  <w:style w:type="paragraph" w:styleId="af0">
    <w:name w:val="Intense Quote"/>
    <w:basedOn w:val="a"/>
    <w:next w:val="a"/>
    <w:link w:val="Char4"/>
    <w:uiPriority w:val="30"/>
    <w:qFormat/>
    <w:rsid w:val="00EA79F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har4">
    <w:name w:val="明显引用 Char"/>
    <w:basedOn w:val="a0"/>
    <w:link w:val="af0"/>
    <w:uiPriority w:val="30"/>
    <w:rsid w:val="00EA79FF"/>
    <w:rPr>
      <w:rFonts w:asciiTheme="majorHAnsi" w:eastAsiaTheme="majorEastAsia" w:hAnsiTheme="majorHAnsi" w:cstheme="majorBidi"/>
      <w:color w:val="44546A" w:themeColor="text2"/>
      <w:spacing w:val="-6"/>
      <w:sz w:val="32"/>
      <w:szCs w:val="32"/>
    </w:rPr>
  </w:style>
  <w:style w:type="character" w:styleId="af1">
    <w:name w:val="Subtle Emphasis"/>
    <w:basedOn w:val="a0"/>
    <w:uiPriority w:val="19"/>
    <w:qFormat/>
    <w:rsid w:val="00EA79FF"/>
    <w:rPr>
      <w:i/>
      <w:iCs/>
      <w:color w:val="595959" w:themeColor="text1" w:themeTint="A6"/>
    </w:rPr>
  </w:style>
  <w:style w:type="character" w:styleId="af2">
    <w:name w:val="Intense Emphasis"/>
    <w:basedOn w:val="a0"/>
    <w:uiPriority w:val="21"/>
    <w:qFormat/>
    <w:rsid w:val="00EA79FF"/>
    <w:rPr>
      <w:b/>
      <w:bCs/>
      <w:i/>
      <w:iCs/>
    </w:rPr>
  </w:style>
  <w:style w:type="character" w:styleId="af3">
    <w:name w:val="Subtle Reference"/>
    <w:basedOn w:val="a0"/>
    <w:uiPriority w:val="31"/>
    <w:qFormat/>
    <w:rsid w:val="00EA79FF"/>
    <w:rPr>
      <w:smallCaps/>
      <w:color w:val="595959" w:themeColor="text1" w:themeTint="A6"/>
      <w:u w:val="none" w:color="7F7F7F" w:themeColor="text1" w:themeTint="80"/>
      <w:bdr w:val="none" w:sz="0" w:space="0" w:color="auto"/>
    </w:rPr>
  </w:style>
  <w:style w:type="character" w:styleId="af4">
    <w:name w:val="Intense Reference"/>
    <w:basedOn w:val="a0"/>
    <w:uiPriority w:val="32"/>
    <w:qFormat/>
    <w:rsid w:val="00EA79FF"/>
    <w:rPr>
      <w:b/>
      <w:bCs/>
      <w:smallCaps/>
      <w:color w:val="44546A" w:themeColor="text2"/>
      <w:u w:val="single"/>
    </w:rPr>
  </w:style>
  <w:style w:type="character" w:styleId="af5">
    <w:name w:val="Book Title"/>
    <w:basedOn w:val="a0"/>
    <w:uiPriority w:val="33"/>
    <w:qFormat/>
    <w:rsid w:val="00EA79FF"/>
    <w:rPr>
      <w:b/>
      <w:bCs/>
      <w:smallCaps/>
      <w:spacing w:val="10"/>
    </w:rPr>
  </w:style>
  <w:style w:type="paragraph" w:styleId="TOC">
    <w:name w:val="TOC Heading"/>
    <w:basedOn w:val="1"/>
    <w:next w:val="a"/>
    <w:uiPriority w:val="39"/>
    <w:unhideWhenUsed/>
    <w:qFormat/>
    <w:rsid w:val="00EA79FF"/>
    <w:pPr>
      <w:outlineLvl w:val="9"/>
    </w:pPr>
  </w:style>
  <w:style w:type="paragraph" w:customStyle="1" w:styleId="volume-issue">
    <w:name w:val="volume-issue"/>
    <w:basedOn w:val="a"/>
    <w:rsid w:val="00435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al">
    <w:name w:val="val"/>
    <w:basedOn w:val="a0"/>
    <w:rsid w:val="00435C64"/>
  </w:style>
  <w:style w:type="paragraph" w:styleId="af6">
    <w:name w:val="Normal (Web)"/>
    <w:basedOn w:val="a"/>
    <w:uiPriority w:val="99"/>
    <w:semiHidden/>
    <w:unhideWhenUsed/>
    <w:rsid w:val="00435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range">
    <w:name w:val="page-range"/>
    <w:basedOn w:val="a"/>
    <w:rsid w:val="00435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7">
    <w:name w:val="header"/>
    <w:basedOn w:val="a"/>
    <w:link w:val="Char5"/>
    <w:uiPriority w:val="99"/>
    <w:unhideWhenUsed/>
    <w:rsid w:val="00977C3F"/>
    <w:pPr>
      <w:tabs>
        <w:tab w:val="center" w:pos="4513"/>
        <w:tab w:val="right" w:pos="9026"/>
      </w:tabs>
      <w:spacing w:after="0" w:line="240" w:lineRule="auto"/>
    </w:pPr>
  </w:style>
  <w:style w:type="character" w:customStyle="1" w:styleId="Char5">
    <w:name w:val="页眉 Char"/>
    <w:basedOn w:val="a0"/>
    <w:link w:val="af7"/>
    <w:uiPriority w:val="99"/>
    <w:rsid w:val="00977C3F"/>
  </w:style>
  <w:style w:type="paragraph" w:styleId="af8">
    <w:name w:val="footer"/>
    <w:basedOn w:val="a"/>
    <w:link w:val="Char6"/>
    <w:uiPriority w:val="99"/>
    <w:unhideWhenUsed/>
    <w:rsid w:val="00977C3F"/>
    <w:pPr>
      <w:tabs>
        <w:tab w:val="center" w:pos="4513"/>
        <w:tab w:val="right" w:pos="9026"/>
      </w:tabs>
      <w:spacing w:after="0" w:line="240" w:lineRule="auto"/>
    </w:pPr>
  </w:style>
  <w:style w:type="character" w:customStyle="1" w:styleId="Char6">
    <w:name w:val="页脚 Char"/>
    <w:basedOn w:val="a0"/>
    <w:link w:val="af8"/>
    <w:uiPriority w:val="99"/>
    <w:rsid w:val="00977C3F"/>
  </w:style>
  <w:style w:type="paragraph" w:styleId="10">
    <w:name w:val="toc 1"/>
    <w:basedOn w:val="a"/>
    <w:next w:val="a"/>
    <w:autoRedefine/>
    <w:uiPriority w:val="39"/>
    <w:unhideWhenUsed/>
    <w:rsid w:val="00A426E5"/>
    <w:pPr>
      <w:spacing w:after="100"/>
    </w:pPr>
  </w:style>
  <w:style w:type="paragraph" w:styleId="20">
    <w:name w:val="toc 2"/>
    <w:basedOn w:val="a"/>
    <w:next w:val="a"/>
    <w:autoRedefine/>
    <w:uiPriority w:val="39"/>
    <w:unhideWhenUsed/>
    <w:rsid w:val="009E3CC3"/>
    <w:pPr>
      <w:spacing w:after="100"/>
      <w:ind w:left="220"/>
    </w:pPr>
  </w:style>
  <w:style w:type="paragraph" w:styleId="30">
    <w:name w:val="toc 3"/>
    <w:basedOn w:val="a"/>
    <w:next w:val="a"/>
    <w:autoRedefine/>
    <w:uiPriority w:val="39"/>
    <w:unhideWhenUsed/>
    <w:rsid w:val="009E3CC3"/>
    <w:pPr>
      <w:spacing w:after="100"/>
      <w:ind w:left="440"/>
    </w:pPr>
  </w:style>
  <w:style w:type="paragraph" w:styleId="af9">
    <w:name w:val="table of figures"/>
    <w:basedOn w:val="a"/>
    <w:next w:val="a"/>
    <w:uiPriority w:val="99"/>
    <w:unhideWhenUsed/>
    <w:rsid w:val="00EF4E60"/>
    <w:pPr>
      <w:spacing w:after="0"/>
    </w:pPr>
  </w:style>
  <w:style w:type="character" w:customStyle="1" w:styleId="Char0">
    <w:name w:val="题注 Char"/>
    <w:basedOn w:val="a0"/>
    <w:link w:val="ab"/>
    <w:uiPriority w:val="35"/>
    <w:rsid w:val="00E97A1D"/>
    <w:rPr>
      <w:rFonts w:ascii="Tahoma" w:hAnsi="Tahoma"/>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276">
      <w:bodyDiv w:val="1"/>
      <w:marLeft w:val="0"/>
      <w:marRight w:val="0"/>
      <w:marTop w:val="0"/>
      <w:marBottom w:val="0"/>
      <w:divBdr>
        <w:top w:val="none" w:sz="0" w:space="0" w:color="auto"/>
        <w:left w:val="none" w:sz="0" w:space="0" w:color="auto"/>
        <w:bottom w:val="none" w:sz="0" w:space="0" w:color="auto"/>
        <w:right w:val="none" w:sz="0" w:space="0" w:color="auto"/>
      </w:divBdr>
    </w:div>
    <w:div w:id="21515334">
      <w:bodyDiv w:val="1"/>
      <w:marLeft w:val="0"/>
      <w:marRight w:val="0"/>
      <w:marTop w:val="0"/>
      <w:marBottom w:val="0"/>
      <w:divBdr>
        <w:top w:val="none" w:sz="0" w:space="0" w:color="auto"/>
        <w:left w:val="none" w:sz="0" w:space="0" w:color="auto"/>
        <w:bottom w:val="none" w:sz="0" w:space="0" w:color="auto"/>
        <w:right w:val="none" w:sz="0" w:space="0" w:color="auto"/>
      </w:divBdr>
    </w:div>
    <w:div w:id="84494344">
      <w:bodyDiv w:val="1"/>
      <w:marLeft w:val="0"/>
      <w:marRight w:val="0"/>
      <w:marTop w:val="0"/>
      <w:marBottom w:val="0"/>
      <w:divBdr>
        <w:top w:val="none" w:sz="0" w:space="0" w:color="auto"/>
        <w:left w:val="none" w:sz="0" w:space="0" w:color="auto"/>
        <w:bottom w:val="none" w:sz="0" w:space="0" w:color="auto"/>
        <w:right w:val="none" w:sz="0" w:space="0" w:color="auto"/>
      </w:divBdr>
    </w:div>
    <w:div w:id="97679195">
      <w:bodyDiv w:val="1"/>
      <w:marLeft w:val="0"/>
      <w:marRight w:val="0"/>
      <w:marTop w:val="0"/>
      <w:marBottom w:val="0"/>
      <w:divBdr>
        <w:top w:val="none" w:sz="0" w:space="0" w:color="auto"/>
        <w:left w:val="none" w:sz="0" w:space="0" w:color="auto"/>
        <w:bottom w:val="none" w:sz="0" w:space="0" w:color="auto"/>
        <w:right w:val="none" w:sz="0" w:space="0" w:color="auto"/>
      </w:divBdr>
    </w:div>
    <w:div w:id="136411451">
      <w:bodyDiv w:val="1"/>
      <w:marLeft w:val="0"/>
      <w:marRight w:val="0"/>
      <w:marTop w:val="0"/>
      <w:marBottom w:val="0"/>
      <w:divBdr>
        <w:top w:val="none" w:sz="0" w:space="0" w:color="auto"/>
        <w:left w:val="none" w:sz="0" w:space="0" w:color="auto"/>
        <w:bottom w:val="none" w:sz="0" w:space="0" w:color="auto"/>
        <w:right w:val="none" w:sz="0" w:space="0" w:color="auto"/>
      </w:divBdr>
    </w:div>
    <w:div w:id="191265391">
      <w:bodyDiv w:val="1"/>
      <w:marLeft w:val="0"/>
      <w:marRight w:val="0"/>
      <w:marTop w:val="0"/>
      <w:marBottom w:val="0"/>
      <w:divBdr>
        <w:top w:val="none" w:sz="0" w:space="0" w:color="auto"/>
        <w:left w:val="none" w:sz="0" w:space="0" w:color="auto"/>
        <w:bottom w:val="none" w:sz="0" w:space="0" w:color="auto"/>
        <w:right w:val="none" w:sz="0" w:space="0" w:color="auto"/>
      </w:divBdr>
    </w:div>
    <w:div w:id="239951114">
      <w:bodyDiv w:val="1"/>
      <w:marLeft w:val="0"/>
      <w:marRight w:val="0"/>
      <w:marTop w:val="0"/>
      <w:marBottom w:val="0"/>
      <w:divBdr>
        <w:top w:val="none" w:sz="0" w:space="0" w:color="auto"/>
        <w:left w:val="none" w:sz="0" w:space="0" w:color="auto"/>
        <w:bottom w:val="none" w:sz="0" w:space="0" w:color="auto"/>
        <w:right w:val="none" w:sz="0" w:space="0" w:color="auto"/>
      </w:divBdr>
    </w:div>
    <w:div w:id="413472082">
      <w:bodyDiv w:val="1"/>
      <w:marLeft w:val="0"/>
      <w:marRight w:val="0"/>
      <w:marTop w:val="0"/>
      <w:marBottom w:val="0"/>
      <w:divBdr>
        <w:top w:val="none" w:sz="0" w:space="0" w:color="auto"/>
        <w:left w:val="none" w:sz="0" w:space="0" w:color="auto"/>
        <w:bottom w:val="none" w:sz="0" w:space="0" w:color="auto"/>
        <w:right w:val="none" w:sz="0" w:space="0" w:color="auto"/>
      </w:divBdr>
    </w:div>
    <w:div w:id="438648175">
      <w:bodyDiv w:val="1"/>
      <w:marLeft w:val="0"/>
      <w:marRight w:val="0"/>
      <w:marTop w:val="0"/>
      <w:marBottom w:val="0"/>
      <w:divBdr>
        <w:top w:val="none" w:sz="0" w:space="0" w:color="auto"/>
        <w:left w:val="none" w:sz="0" w:space="0" w:color="auto"/>
        <w:bottom w:val="none" w:sz="0" w:space="0" w:color="auto"/>
        <w:right w:val="none" w:sz="0" w:space="0" w:color="auto"/>
      </w:divBdr>
    </w:div>
    <w:div w:id="451945119">
      <w:bodyDiv w:val="1"/>
      <w:marLeft w:val="0"/>
      <w:marRight w:val="0"/>
      <w:marTop w:val="0"/>
      <w:marBottom w:val="0"/>
      <w:divBdr>
        <w:top w:val="none" w:sz="0" w:space="0" w:color="auto"/>
        <w:left w:val="none" w:sz="0" w:space="0" w:color="auto"/>
        <w:bottom w:val="none" w:sz="0" w:space="0" w:color="auto"/>
        <w:right w:val="none" w:sz="0" w:space="0" w:color="auto"/>
      </w:divBdr>
    </w:div>
    <w:div w:id="456919054">
      <w:bodyDiv w:val="1"/>
      <w:marLeft w:val="0"/>
      <w:marRight w:val="0"/>
      <w:marTop w:val="0"/>
      <w:marBottom w:val="0"/>
      <w:divBdr>
        <w:top w:val="none" w:sz="0" w:space="0" w:color="auto"/>
        <w:left w:val="none" w:sz="0" w:space="0" w:color="auto"/>
        <w:bottom w:val="none" w:sz="0" w:space="0" w:color="auto"/>
        <w:right w:val="none" w:sz="0" w:space="0" w:color="auto"/>
      </w:divBdr>
    </w:div>
    <w:div w:id="464472627">
      <w:bodyDiv w:val="1"/>
      <w:marLeft w:val="0"/>
      <w:marRight w:val="0"/>
      <w:marTop w:val="0"/>
      <w:marBottom w:val="0"/>
      <w:divBdr>
        <w:top w:val="none" w:sz="0" w:space="0" w:color="auto"/>
        <w:left w:val="none" w:sz="0" w:space="0" w:color="auto"/>
        <w:bottom w:val="none" w:sz="0" w:space="0" w:color="auto"/>
        <w:right w:val="none" w:sz="0" w:space="0" w:color="auto"/>
      </w:divBdr>
    </w:div>
    <w:div w:id="474568321">
      <w:bodyDiv w:val="1"/>
      <w:marLeft w:val="0"/>
      <w:marRight w:val="0"/>
      <w:marTop w:val="0"/>
      <w:marBottom w:val="0"/>
      <w:divBdr>
        <w:top w:val="none" w:sz="0" w:space="0" w:color="auto"/>
        <w:left w:val="none" w:sz="0" w:space="0" w:color="auto"/>
        <w:bottom w:val="none" w:sz="0" w:space="0" w:color="auto"/>
        <w:right w:val="none" w:sz="0" w:space="0" w:color="auto"/>
      </w:divBdr>
    </w:div>
    <w:div w:id="625895821">
      <w:bodyDiv w:val="1"/>
      <w:marLeft w:val="0"/>
      <w:marRight w:val="0"/>
      <w:marTop w:val="0"/>
      <w:marBottom w:val="0"/>
      <w:divBdr>
        <w:top w:val="none" w:sz="0" w:space="0" w:color="auto"/>
        <w:left w:val="none" w:sz="0" w:space="0" w:color="auto"/>
        <w:bottom w:val="none" w:sz="0" w:space="0" w:color="auto"/>
        <w:right w:val="none" w:sz="0" w:space="0" w:color="auto"/>
      </w:divBdr>
    </w:div>
    <w:div w:id="654651823">
      <w:bodyDiv w:val="1"/>
      <w:marLeft w:val="0"/>
      <w:marRight w:val="0"/>
      <w:marTop w:val="0"/>
      <w:marBottom w:val="0"/>
      <w:divBdr>
        <w:top w:val="none" w:sz="0" w:space="0" w:color="auto"/>
        <w:left w:val="none" w:sz="0" w:space="0" w:color="auto"/>
        <w:bottom w:val="none" w:sz="0" w:space="0" w:color="auto"/>
        <w:right w:val="none" w:sz="0" w:space="0" w:color="auto"/>
      </w:divBdr>
    </w:div>
    <w:div w:id="660692947">
      <w:bodyDiv w:val="1"/>
      <w:marLeft w:val="0"/>
      <w:marRight w:val="0"/>
      <w:marTop w:val="0"/>
      <w:marBottom w:val="0"/>
      <w:divBdr>
        <w:top w:val="none" w:sz="0" w:space="0" w:color="auto"/>
        <w:left w:val="none" w:sz="0" w:space="0" w:color="auto"/>
        <w:bottom w:val="none" w:sz="0" w:space="0" w:color="auto"/>
        <w:right w:val="none" w:sz="0" w:space="0" w:color="auto"/>
      </w:divBdr>
    </w:div>
    <w:div w:id="694501327">
      <w:bodyDiv w:val="1"/>
      <w:marLeft w:val="0"/>
      <w:marRight w:val="0"/>
      <w:marTop w:val="0"/>
      <w:marBottom w:val="0"/>
      <w:divBdr>
        <w:top w:val="none" w:sz="0" w:space="0" w:color="auto"/>
        <w:left w:val="none" w:sz="0" w:space="0" w:color="auto"/>
        <w:bottom w:val="none" w:sz="0" w:space="0" w:color="auto"/>
        <w:right w:val="none" w:sz="0" w:space="0" w:color="auto"/>
      </w:divBdr>
    </w:div>
    <w:div w:id="789397964">
      <w:bodyDiv w:val="1"/>
      <w:marLeft w:val="0"/>
      <w:marRight w:val="0"/>
      <w:marTop w:val="0"/>
      <w:marBottom w:val="0"/>
      <w:divBdr>
        <w:top w:val="none" w:sz="0" w:space="0" w:color="auto"/>
        <w:left w:val="none" w:sz="0" w:space="0" w:color="auto"/>
        <w:bottom w:val="none" w:sz="0" w:space="0" w:color="auto"/>
        <w:right w:val="none" w:sz="0" w:space="0" w:color="auto"/>
      </w:divBdr>
    </w:div>
    <w:div w:id="820003334">
      <w:bodyDiv w:val="1"/>
      <w:marLeft w:val="0"/>
      <w:marRight w:val="0"/>
      <w:marTop w:val="0"/>
      <w:marBottom w:val="0"/>
      <w:divBdr>
        <w:top w:val="none" w:sz="0" w:space="0" w:color="auto"/>
        <w:left w:val="none" w:sz="0" w:space="0" w:color="auto"/>
        <w:bottom w:val="none" w:sz="0" w:space="0" w:color="auto"/>
        <w:right w:val="none" w:sz="0" w:space="0" w:color="auto"/>
      </w:divBdr>
    </w:div>
    <w:div w:id="838421106">
      <w:bodyDiv w:val="1"/>
      <w:marLeft w:val="0"/>
      <w:marRight w:val="0"/>
      <w:marTop w:val="0"/>
      <w:marBottom w:val="0"/>
      <w:divBdr>
        <w:top w:val="none" w:sz="0" w:space="0" w:color="auto"/>
        <w:left w:val="none" w:sz="0" w:space="0" w:color="auto"/>
        <w:bottom w:val="none" w:sz="0" w:space="0" w:color="auto"/>
        <w:right w:val="none" w:sz="0" w:space="0" w:color="auto"/>
      </w:divBdr>
    </w:div>
    <w:div w:id="852187466">
      <w:bodyDiv w:val="1"/>
      <w:marLeft w:val="0"/>
      <w:marRight w:val="0"/>
      <w:marTop w:val="0"/>
      <w:marBottom w:val="0"/>
      <w:divBdr>
        <w:top w:val="none" w:sz="0" w:space="0" w:color="auto"/>
        <w:left w:val="none" w:sz="0" w:space="0" w:color="auto"/>
        <w:bottom w:val="none" w:sz="0" w:space="0" w:color="auto"/>
        <w:right w:val="none" w:sz="0" w:space="0" w:color="auto"/>
      </w:divBdr>
    </w:div>
    <w:div w:id="881746066">
      <w:bodyDiv w:val="1"/>
      <w:marLeft w:val="0"/>
      <w:marRight w:val="0"/>
      <w:marTop w:val="0"/>
      <w:marBottom w:val="0"/>
      <w:divBdr>
        <w:top w:val="none" w:sz="0" w:space="0" w:color="auto"/>
        <w:left w:val="none" w:sz="0" w:space="0" w:color="auto"/>
        <w:bottom w:val="none" w:sz="0" w:space="0" w:color="auto"/>
        <w:right w:val="none" w:sz="0" w:space="0" w:color="auto"/>
      </w:divBdr>
    </w:div>
    <w:div w:id="883635900">
      <w:bodyDiv w:val="1"/>
      <w:marLeft w:val="0"/>
      <w:marRight w:val="0"/>
      <w:marTop w:val="0"/>
      <w:marBottom w:val="0"/>
      <w:divBdr>
        <w:top w:val="none" w:sz="0" w:space="0" w:color="auto"/>
        <w:left w:val="none" w:sz="0" w:space="0" w:color="auto"/>
        <w:bottom w:val="none" w:sz="0" w:space="0" w:color="auto"/>
        <w:right w:val="none" w:sz="0" w:space="0" w:color="auto"/>
      </w:divBdr>
    </w:div>
    <w:div w:id="916792727">
      <w:bodyDiv w:val="1"/>
      <w:marLeft w:val="0"/>
      <w:marRight w:val="0"/>
      <w:marTop w:val="0"/>
      <w:marBottom w:val="0"/>
      <w:divBdr>
        <w:top w:val="none" w:sz="0" w:space="0" w:color="auto"/>
        <w:left w:val="none" w:sz="0" w:space="0" w:color="auto"/>
        <w:bottom w:val="none" w:sz="0" w:space="0" w:color="auto"/>
        <w:right w:val="none" w:sz="0" w:space="0" w:color="auto"/>
      </w:divBdr>
    </w:div>
    <w:div w:id="942297918">
      <w:bodyDiv w:val="1"/>
      <w:marLeft w:val="0"/>
      <w:marRight w:val="0"/>
      <w:marTop w:val="0"/>
      <w:marBottom w:val="0"/>
      <w:divBdr>
        <w:top w:val="none" w:sz="0" w:space="0" w:color="auto"/>
        <w:left w:val="none" w:sz="0" w:space="0" w:color="auto"/>
        <w:bottom w:val="none" w:sz="0" w:space="0" w:color="auto"/>
        <w:right w:val="none" w:sz="0" w:space="0" w:color="auto"/>
      </w:divBdr>
    </w:div>
    <w:div w:id="1024289657">
      <w:bodyDiv w:val="1"/>
      <w:marLeft w:val="0"/>
      <w:marRight w:val="0"/>
      <w:marTop w:val="0"/>
      <w:marBottom w:val="0"/>
      <w:divBdr>
        <w:top w:val="none" w:sz="0" w:space="0" w:color="auto"/>
        <w:left w:val="none" w:sz="0" w:space="0" w:color="auto"/>
        <w:bottom w:val="none" w:sz="0" w:space="0" w:color="auto"/>
        <w:right w:val="none" w:sz="0" w:space="0" w:color="auto"/>
      </w:divBdr>
    </w:div>
    <w:div w:id="1024593744">
      <w:bodyDiv w:val="1"/>
      <w:marLeft w:val="0"/>
      <w:marRight w:val="0"/>
      <w:marTop w:val="0"/>
      <w:marBottom w:val="0"/>
      <w:divBdr>
        <w:top w:val="none" w:sz="0" w:space="0" w:color="auto"/>
        <w:left w:val="none" w:sz="0" w:space="0" w:color="auto"/>
        <w:bottom w:val="none" w:sz="0" w:space="0" w:color="auto"/>
        <w:right w:val="none" w:sz="0" w:space="0" w:color="auto"/>
      </w:divBdr>
    </w:div>
    <w:div w:id="1109937137">
      <w:bodyDiv w:val="1"/>
      <w:marLeft w:val="0"/>
      <w:marRight w:val="0"/>
      <w:marTop w:val="0"/>
      <w:marBottom w:val="0"/>
      <w:divBdr>
        <w:top w:val="none" w:sz="0" w:space="0" w:color="auto"/>
        <w:left w:val="none" w:sz="0" w:space="0" w:color="auto"/>
        <w:bottom w:val="none" w:sz="0" w:space="0" w:color="auto"/>
        <w:right w:val="none" w:sz="0" w:space="0" w:color="auto"/>
      </w:divBdr>
    </w:div>
    <w:div w:id="1115757337">
      <w:bodyDiv w:val="1"/>
      <w:marLeft w:val="0"/>
      <w:marRight w:val="0"/>
      <w:marTop w:val="0"/>
      <w:marBottom w:val="0"/>
      <w:divBdr>
        <w:top w:val="none" w:sz="0" w:space="0" w:color="auto"/>
        <w:left w:val="none" w:sz="0" w:space="0" w:color="auto"/>
        <w:bottom w:val="none" w:sz="0" w:space="0" w:color="auto"/>
        <w:right w:val="none" w:sz="0" w:space="0" w:color="auto"/>
      </w:divBdr>
    </w:div>
    <w:div w:id="1336112471">
      <w:bodyDiv w:val="1"/>
      <w:marLeft w:val="0"/>
      <w:marRight w:val="0"/>
      <w:marTop w:val="0"/>
      <w:marBottom w:val="0"/>
      <w:divBdr>
        <w:top w:val="none" w:sz="0" w:space="0" w:color="auto"/>
        <w:left w:val="none" w:sz="0" w:space="0" w:color="auto"/>
        <w:bottom w:val="none" w:sz="0" w:space="0" w:color="auto"/>
        <w:right w:val="none" w:sz="0" w:space="0" w:color="auto"/>
      </w:divBdr>
    </w:div>
    <w:div w:id="1356615100">
      <w:bodyDiv w:val="1"/>
      <w:marLeft w:val="0"/>
      <w:marRight w:val="0"/>
      <w:marTop w:val="0"/>
      <w:marBottom w:val="0"/>
      <w:divBdr>
        <w:top w:val="none" w:sz="0" w:space="0" w:color="auto"/>
        <w:left w:val="none" w:sz="0" w:space="0" w:color="auto"/>
        <w:bottom w:val="none" w:sz="0" w:space="0" w:color="auto"/>
        <w:right w:val="none" w:sz="0" w:space="0" w:color="auto"/>
      </w:divBdr>
    </w:div>
    <w:div w:id="1438141870">
      <w:bodyDiv w:val="1"/>
      <w:marLeft w:val="0"/>
      <w:marRight w:val="0"/>
      <w:marTop w:val="0"/>
      <w:marBottom w:val="0"/>
      <w:divBdr>
        <w:top w:val="none" w:sz="0" w:space="0" w:color="auto"/>
        <w:left w:val="none" w:sz="0" w:space="0" w:color="auto"/>
        <w:bottom w:val="none" w:sz="0" w:space="0" w:color="auto"/>
        <w:right w:val="none" w:sz="0" w:space="0" w:color="auto"/>
      </w:divBdr>
    </w:div>
    <w:div w:id="1448501500">
      <w:bodyDiv w:val="1"/>
      <w:marLeft w:val="0"/>
      <w:marRight w:val="0"/>
      <w:marTop w:val="0"/>
      <w:marBottom w:val="0"/>
      <w:divBdr>
        <w:top w:val="none" w:sz="0" w:space="0" w:color="auto"/>
        <w:left w:val="none" w:sz="0" w:space="0" w:color="auto"/>
        <w:bottom w:val="none" w:sz="0" w:space="0" w:color="auto"/>
        <w:right w:val="none" w:sz="0" w:space="0" w:color="auto"/>
      </w:divBdr>
    </w:div>
    <w:div w:id="1466047107">
      <w:bodyDiv w:val="1"/>
      <w:marLeft w:val="0"/>
      <w:marRight w:val="0"/>
      <w:marTop w:val="0"/>
      <w:marBottom w:val="0"/>
      <w:divBdr>
        <w:top w:val="none" w:sz="0" w:space="0" w:color="auto"/>
        <w:left w:val="none" w:sz="0" w:space="0" w:color="auto"/>
        <w:bottom w:val="none" w:sz="0" w:space="0" w:color="auto"/>
        <w:right w:val="none" w:sz="0" w:space="0" w:color="auto"/>
      </w:divBdr>
    </w:div>
    <w:div w:id="1476331796">
      <w:bodyDiv w:val="1"/>
      <w:marLeft w:val="0"/>
      <w:marRight w:val="0"/>
      <w:marTop w:val="0"/>
      <w:marBottom w:val="0"/>
      <w:divBdr>
        <w:top w:val="none" w:sz="0" w:space="0" w:color="auto"/>
        <w:left w:val="none" w:sz="0" w:space="0" w:color="auto"/>
        <w:bottom w:val="none" w:sz="0" w:space="0" w:color="auto"/>
        <w:right w:val="none" w:sz="0" w:space="0" w:color="auto"/>
      </w:divBdr>
    </w:div>
    <w:div w:id="1495299052">
      <w:bodyDiv w:val="1"/>
      <w:marLeft w:val="0"/>
      <w:marRight w:val="0"/>
      <w:marTop w:val="0"/>
      <w:marBottom w:val="0"/>
      <w:divBdr>
        <w:top w:val="none" w:sz="0" w:space="0" w:color="auto"/>
        <w:left w:val="none" w:sz="0" w:space="0" w:color="auto"/>
        <w:bottom w:val="none" w:sz="0" w:space="0" w:color="auto"/>
        <w:right w:val="none" w:sz="0" w:space="0" w:color="auto"/>
      </w:divBdr>
    </w:div>
    <w:div w:id="1499148674">
      <w:bodyDiv w:val="1"/>
      <w:marLeft w:val="0"/>
      <w:marRight w:val="0"/>
      <w:marTop w:val="0"/>
      <w:marBottom w:val="0"/>
      <w:divBdr>
        <w:top w:val="none" w:sz="0" w:space="0" w:color="auto"/>
        <w:left w:val="none" w:sz="0" w:space="0" w:color="auto"/>
        <w:bottom w:val="none" w:sz="0" w:space="0" w:color="auto"/>
        <w:right w:val="none" w:sz="0" w:space="0" w:color="auto"/>
      </w:divBdr>
    </w:div>
    <w:div w:id="1513958491">
      <w:bodyDiv w:val="1"/>
      <w:marLeft w:val="0"/>
      <w:marRight w:val="0"/>
      <w:marTop w:val="0"/>
      <w:marBottom w:val="0"/>
      <w:divBdr>
        <w:top w:val="none" w:sz="0" w:space="0" w:color="auto"/>
        <w:left w:val="none" w:sz="0" w:space="0" w:color="auto"/>
        <w:bottom w:val="none" w:sz="0" w:space="0" w:color="auto"/>
        <w:right w:val="none" w:sz="0" w:space="0" w:color="auto"/>
      </w:divBdr>
    </w:div>
    <w:div w:id="1627853154">
      <w:bodyDiv w:val="1"/>
      <w:marLeft w:val="0"/>
      <w:marRight w:val="0"/>
      <w:marTop w:val="0"/>
      <w:marBottom w:val="0"/>
      <w:divBdr>
        <w:top w:val="none" w:sz="0" w:space="0" w:color="auto"/>
        <w:left w:val="none" w:sz="0" w:space="0" w:color="auto"/>
        <w:bottom w:val="none" w:sz="0" w:space="0" w:color="auto"/>
        <w:right w:val="none" w:sz="0" w:space="0" w:color="auto"/>
      </w:divBdr>
    </w:div>
    <w:div w:id="1644112977">
      <w:bodyDiv w:val="1"/>
      <w:marLeft w:val="0"/>
      <w:marRight w:val="0"/>
      <w:marTop w:val="0"/>
      <w:marBottom w:val="0"/>
      <w:divBdr>
        <w:top w:val="none" w:sz="0" w:space="0" w:color="auto"/>
        <w:left w:val="none" w:sz="0" w:space="0" w:color="auto"/>
        <w:bottom w:val="none" w:sz="0" w:space="0" w:color="auto"/>
        <w:right w:val="none" w:sz="0" w:space="0" w:color="auto"/>
      </w:divBdr>
      <w:divsChild>
        <w:div w:id="348331673">
          <w:marLeft w:val="0"/>
          <w:marRight w:val="0"/>
          <w:marTop w:val="0"/>
          <w:marBottom w:val="0"/>
          <w:divBdr>
            <w:top w:val="none" w:sz="0" w:space="0" w:color="auto"/>
            <w:left w:val="none" w:sz="0" w:space="0" w:color="auto"/>
            <w:bottom w:val="none" w:sz="0" w:space="0" w:color="auto"/>
            <w:right w:val="none" w:sz="0" w:space="0" w:color="auto"/>
          </w:divBdr>
        </w:div>
      </w:divsChild>
    </w:div>
    <w:div w:id="1658148125">
      <w:bodyDiv w:val="1"/>
      <w:marLeft w:val="0"/>
      <w:marRight w:val="0"/>
      <w:marTop w:val="0"/>
      <w:marBottom w:val="0"/>
      <w:divBdr>
        <w:top w:val="none" w:sz="0" w:space="0" w:color="auto"/>
        <w:left w:val="none" w:sz="0" w:space="0" w:color="auto"/>
        <w:bottom w:val="none" w:sz="0" w:space="0" w:color="auto"/>
        <w:right w:val="none" w:sz="0" w:space="0" w:color="auto"/>
      </w:divBdr>
    </w:div>
    <w:div w:id="1716925218">
      <w:bodyDiv w:val="1"/>
      <w:marLeft w:val="0"/>
      <w:marRight w:val="0"/>
      <w:marTop w:val="0"/>
      <w:marBottom w:val="0"/>
      <w:divBdr>
        <w:top w:val="none" w:sz="0" w:space="0" w:color="auto"/>
        <w:left w:val="none" w:sz="0" w:space="0" w:color="auto"/>
        <w:bottom w:val="none" w:sz="0" w:space="0" w:color="auto"/>
        <w:right w:val="none" w:sz="0" w:space="0" w:color="auto"/>
      </w:divBdr>
    </w:div>
    <w:div w:id="1717699855">
      <w:bodyDiv w:val="1"/>
      <w:marLeft w:val="0"/>
      <w:marRight w:val="0"/>
      <w:marTop w:val="0"/>
      <w:marBottom w:val="0"/>
      <w:divBdr>
        <w:top w:val="none" w:sz="0" w:space="0" w:color="auto"/>
        <w:left w:val="none" w:sz="0" w:space="0" w:color="auto"/>
        <w:bottom w:val="none" w:sz="0" w:space="0" w:color="auto"/>
        <w:right w:val="none" w:sz="0" w:space="0" w:color="auto"/>
      </w:divBdr>
    </w:div>
    <w:div w:id="1767336350">
      <w:bodyDiv w:val="1"/>
      <w:marLeft w:val="0"/>
      <w:marRight w:val="0"/>
      <w:marTop w:val="0"/>
      <w:marBottom w:val="0"/>
      <w:divBdr>
        <w:top w:val="none" w:sz="0" w:space="0" w:color="auto"/>
        <w:left w:val="none" w:sz="0" w:space="0" w:color="auto"/>
        <w:bottom w:val="none" w:sz="0" w:space="0" w:color="auto"/>
        <w:right w:val="none" w:sz="0" w:space="0" w:color="auto"/>
      </w:divBdr>
    </w:div>
    <w:div w:id="1779449995">
      <w:bodyDiv w:val="1"/>
      <w:marLeft w:val="0"/>
      <w:marRight w:val="0"/>
      <w:marTop w:val="0"/>
      <w:marBottom w:val="0"/>
      <w:divBdr>
        <w:top w:val="none" w:sz="0" w:space="0" w:color="auto"/>
        <w:left w:val="none" w:sz="0" w:space="0" w:color="auto"/>
        <w:bottom w:val="none" w:sz="0" w:space="0" w:color="auto"/>
        <w:right w:val="none" w:sz="0" w:space="0" w:color="auto"/>
      </w:divBdr>
    </w:div>
    <w:div w:id="1797261232">
      <w:bodyDiv w:val="1"/>
      <w:marLeft w:val="0"/>
      <w:marRight w:val="0"/>
      <w:marTop w:val="0"/>
      <w:marBottom w:val="0"/>
      <w:divBdr>
        <w:top w:val="none" w:sz="0" w:space="0" w:color="auto"/>
        <w:left w:val="none" w:sz="0" w:space="0" w:color="auto"/>
        <w:bottom w:val="none" w:sz="0" w:space="0" w:color="auto"/>
        <w:right w:val="none" w:sz="0" w:space="0" w:color="auto"/>
      </w:divBdr>
    </w:div>
    <w:div w:id="1835484291">
      <w:bodyDiv w:val="1"/>
      <w:marLeft w:val="0"/>
      <w:marRight w:val="0"/>
      <w:marTop w:val="0"/>
      <w:marBottom w:val="0"/>
      <w:divBdr>
        <w:top w:val="none" w:sz="0" w:space="0" w:color="auto"/>
        <w:left w:val="none" w:sz="0" w:space="0" w:color="auto"/>
        <w:bottom w:val="none" w:sz="0" w:space="0" w:color="auto"/>
        <w:right w:val="none" w:sz="0" w:space="0" w:color="auto"/>
      </w:divBdr>
    </w:div>
    <w:div w:id="1836259272">
      <w:bodyDiv w:val="1"/>
      <w:marLeft w:val="0"/>
      <w:marRight w:val="0"/>
      <w:marTop w:val="0"/>
      <w:marBottom w:val="0"/>
      <w:divBdr>
        <w:top w:val="none" w:sz="0" w:space="0" w:color="auto"/>
        <w:left w:val="none" w:sz="0" w:space="0" w:color="auto"/>
        <w:bottom w:val="none" w:sz="0" w:space="0" w:color="auto"/>
        <w:right w:val="none" w:sz="0" w:space="0" w:color="auto"/>
      </w:divBdr>
    </w:div>
    <w:div w:id="1842039265">
      <w:bodyDiv w:val="1"/>
      <w:marLeft w:val="0"/>
      <w:marRight w:val="0"/>
      <w:marTop w:val="0"/>
      <w:marBottom w:val="0"/>
      <w:divBdr>
        <w:top w:val="none" w:sz="0" w:space="0" w:color="auto"/>
        <w:left w:val="none" w:sz="0" w:space="0" w:color="auto"/>
        <w:bottom w:val="none" w:sz="0" w:space="0" w:color="auto"/>
        <w:right w:val="none" w:sz="0" w:space="0" w:color="auto"/>
      </w:divBdr>
    </w:div>
    <w:div w:id="1881043370">
      <w:bodyDiv w:val="1"/>
      <w:marLeft w:val="0"/>
      <w:marRight w:val="0"/>
      <w:marTop w:val="0"/>
      <w:marBottom w:val="0"/>
      <w:divBdr>
        <w:top w:val="none" w:sz="0" w:space="0" w:color="auto"/>
        <w:left w:val="none" w:sz="0" w:space="0" w:color="auto"/>
        <w:bottom w:val="none" w:sz="0" w:space="0" w:color="auto"/>
        <w:right w:val="none" w:sz="0" w:space="0" w:color="auto"/>
      </w:divBdr>
    </w:div>
    <w:div w:id="1951820143">
      <w:bodyDiv w:val="1"/>
      <w:marLeft w:val="0"/>
      <w:marRight w:val="0"/>
      <w:marTop w:val="0"/>
      <w:marBottom w:val="0"/>
      <w:divBdr>
        <w:top w:val="none" w:sz="0" w:space="0" w:color="auto"/>
        <w:left w:val="none" w:sz="0" w:space="0" w:color="auto"/>
        <w:bottom w:val="none" w:sz="0" w:space="0" w:color="auto"/>
        <w:right w:val="none" w:sz="0" w:space="0" w:color="auto"/>
      </w:divBdr>
    </w:div>
    <w:div w:id="1978760012">
      <w:bodyDiv w:val="1"/>
      <w:marLeft w:val="0"/>
      <w:marRight w:val="0"/>
      <w:marTop w:val="0"/>
      <w:marBottom w:val="0"/>
      <w:divBdr>
        <w:top w:val="none" w:sz="0" w:space="0" w:color="auto"/>
        <w:left w:val="none" w:sz="0" w:space="0" w:color="auto"/>
        <w:bottom w:val="none" w:sz="0" w:space="0" w:color="auto"/>
        <w:right w:val="none" w:sz="0" w:space="0" w:color="auto"/>
      </w:divBdr>
    </w:div>
    <w:div w:id="1992369965">
      <w:bodyDiv w:val="1"/>
      <w:marLeft w:val="0"/>
      <w:marRight w:val="0"/>
      <w:marTop w:val="0"/>
      <w:marBottom w:val="0"/>
      <w:divBdr>
        <w:top w:val="none" w:sz="0" w:space="0" w:color="auto"/>
        <w:left w:val="none" w:sz="0" w:space="0" w:color="auto"/>
        <w:bottom w:val="none" w:sz="0" w:space="0" w:color="auto"/>
        <w:right w:val="none" w:sz="0" w:space="0" w:color="auto"/>
      </w:divBdr>
    </w:div>
    <w:div w:id="206177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onlinelibrary.wiley.com/toc/1468036x/2018/24/1"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on\Desktop\UCL\Disseratation\Data\5y,10y,15y,20y%20-%20infra%20stocks.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son\Desktop\UCL\Disseratation\Data\Rolling%20Correlation%20-%20infra%20stocks.xlsx" TargetMode="External"/><Relationship Id="rId2" Type="http://schemas.microsoft.com/office/2011/relationships/chartColorStyle" Target="colors2.xml"/><Relationship Id="rId1" Type="http://schemas.microsoft.com/office/2011/relationships/chartStyle" Target="style2.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son\Desktop\UCL\Disseratation\Data\Rolling%20Correlation%20-%20Active%20funds.xlsx" TargetMode="External"/><Relationship Id="rId2" Type="http://schemas.microsoft.com/office/2011/relationships/chartColorStyle" Target="colors3.xml"/><Relationship Id="rId1" Type="http://schemas.microsoft.com/office/2011/relationships/chartStyle" Target="style3.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4.xml"/><Relationship Id="rId1" Type="http://schemas.microsoft.com/office/2011/relationships/chartStyle" Target="style4.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son\Desktop\UCL\Disseratation\Data\Rolling%20Correlation%20-%20indices%20(sector%20and%20regions%20removed).xlsx" TargetMode="External"/><Relationship Id="rId2" Type="http://schemas.microsoft.com/office/2011/relationships/chartColorStyle" Target="colors5.xml"/><Relationship Id="rId1" Type="http://schemas.microsoft.com/office/2011/relationships/chartStyle" Target="style5.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n\Desktop\UCL\Disseratation\Data\5y,10y,15y,20y%20-%20infra%20stock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on\Desktop\UCL\Disseratation\Data\5y,10y,15y,20y%20-%20infra%20stock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on\Desktop\UCL\Disseratation\Data\5y,10y,15y,20y%20-%20indic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n\Desktop\UCL\Disseratation\Data\5y,10y,15y,20y%20-%20indices.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son\Desktop\UCL\Disseratation\Data\5y,10y,15y,20y%20-%20indices%20(sector%20and%20regions%20remov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on\Desktop\UCL\Disseratation\Data\5y,10y,15y,20y%20-%20indices%20(sector%20and%20regions%20removed).xlsx" TargetMode="Externa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Correlations of infrastructure stocks with MSCI World TR </a:t>
            </a:r>
          </a:p>
          <a:p>
            <a:pPr>
              <a:defRPr/>
            </a:pPr>
            <a:r>
              <a:rPr lang="en-GB"/>
              <a:t>(01/07/1998 - 30/06/2018)</a:t>
            </a:r>
          </a:p>
        </c:rich>
      </c:tx>
      <c:overlay val="0"/>
    </c:title>
    <c:autoTitleDeleted val="0"/>
    <c:plotArea>
      <c:layout/>
      <c:barChart>
        <c:barDir val="col"/>
        <c:grouping val="clustered"/>
        <c:varyColors val="0"/>
        <c:ser>
          <c:idx val="0"/>
          <c:order val="0"/>
          <c:invertIfNegative val="0"/>
          <c:cat>
            <c:numRef>
              <c:f>Histograms!$Q$13:$Q$33</c:f>
              <c:numCache>
                <c:formatCode>General</c:formatCode>
                <c:ptCount val="21"/>
                <c:pt idx="0">
                  <c:v>-1</c:v>
                </c:pt>
                <c:pt idx="1">
                  <c:v>-0.9</c:v>
                </c:pt>
                <c:pt idx="2">
                  <c:v>-0.8</c:v>
                </c:pt>
                <c:pt idx="3">
                  <c:v>-0.7</c:v>
                </c:pt>
                <c:pt idx="4">
                  <c:v>-0.6</c:v>
                </c:pt>
                <c:pt idx="5">
                  <c:v>-0.5</c:v>
                </c:pt>
                <c:pt idx="6">
                  <c:v>-0.4</c:v>
                </c:pt>
                <c:pt idx="7">
                  <c:v>-0.3</c:v>
                </c:pt>
                <c:pt idx="8">
                  <c:v>-0.2</c:v>
                </c:pt>
                <c:pt idx="9">
                  <c:v>-0.1</c:v>
                </c:pt>
                <c:pt idx="10">
                  <c:v>0</c:v>
                </c:pt>
                <c:pt idx="11">
                  <c:v>0.1</c:v>
                </c:pt>
                <c:pt idx="12">
                  <c:v>0.2</c:v>
                </c:pt>
                <c:pt idx="13">
                  <c:v>0.3</c:v>
                </c:pt>
                <c:pt idx="14">
                  <c:v>0.4</c:v>
                </c:pt>
                <c:pt idx="15">
                  <c:v>0.5</c:v>
                </c:pt>
                <c:pt idx="16">
                  <c:v>0.6</c:v>
                </c:pt>
                <c:pt idx="17">
                  <c:v>0.7</c:v>
                </c:pt>
                <c:pt idx="18">
                  <c:v>0.8</c:v>
                </c:pt>
                <c:pt idx="19">
                  <c:v>0.9</c:v>
                </c:pt>
                <c:pt idx="20">
                  <c:v>1</c:v>
                </c:pt>
              </c:numCache>
            </c:numRef>
          </c:cat>
          <c:val>
            <c:numRef>
              <c:f>Histograms!$R$13:$R$33</c:f>
              <c:numCache>
                <c:formatCode>General</c:formatCode>
                <c:ptCount val="21"/>
                <c:pt idx="0">
                  <c:v>0</c:v>
                </c:pt>
                <c:pt idx="1">
                  <c:v>0</c:v>
                </c:pt>
                <c:pt idx="2">
                  <c:v>0</c:v>
                </c:pt>
                <c:pt idx="3">
                  <c:v>0</c:v>
                </c:pt>
                <c:pt idx="4">
                  <c:v>0</c:v>
                </c:pt>
                <c:pt idx="5">
                  <c:v>0</c:v>
                </c:pt>
                <c:pt idx="6">
                  <c:v>0</c:v>
                </c:pt>
                <c:pt idx="7">
                  <c:v>0</c:v>
                </c:pt>
                <c:pt idx="8">
                  <c:v>0</c:v>
                </c:pt>
                <c:pt idx="9">
                  <c:v>0</c:v>
                </c:pt>
                <c:pt idx="10">
                  <c:v>2</c:v>
                </c:pt>
                <c:pt idx="11">
                  <c:v>7</c:v>
                </c:pt>
                <c:pt idx="12">
                  <c:v>40</c:v>
                </c:pt>
                <c:pt idx="13">
                  <c:v>42</c:v>
                </c:pt>
                <c:pt idx="14">
                  <c:v>30</c:v>
                </c:pt>
                <c:pt idx="15">
                  <c:v>26</c:v>
                </c:pt>
                <c:pt idx="16">
                  <c:v>17</c:v>
                </c:pt>
                <c:pt idx="17">
                  <c:v>13</c:v>
                </c:pt>
                <c:pt idx="18">
                  <c:v>0</c:v>
                </c:pt>
                <c:pt idx="19">
                  <c:v>0</c:v>
                </c:pt>
                <c:pt idx="20">
                  <c:v>0</c:v>
                </c:pt>
              </c:numCache>
            </c:numRef>
          </c:val>
        </c:ser>
        <c:dLbls>
          <c:showLegendKey val="0"/>
          <c:showVal val="0"/>
          <c:showCatName val="0"/>
          <c:showSerName val="0"/>
          <c:showPercent val="0"/>
          <c:showBubbleSize val="0"/>
        </c:dLbls>
        <c:gapWidth val="150"/>
        <c:axId val="1508142768"/>
        <c:axId val="1508129712"/>
      </c:barChart>
      <c:catAx>
        <c:axId val="1508142768"/>
        <c:scaling>
          <c:orientation val="minMax"/>
        </c:scaling>
        <c:delete val="0"/>
        <c:axPos val="b"/>
        <c:title>
          <c:tx>
            <c:rich>
              <a:bodyPr/>
              <a:lstStyle/>
              <a:p>
                <a:pPr>
                  <a:defRPr/>
                </a:pPr>
                <a:r>
                  <a:rPr lang="en-GB"/>
                  <a:t>Correlation</a:t>
                </a:r>
              </a:p>
            </c:rich>
          </c:tx>
          <c:overlay val="0"/>
        </c:title>
        <c:numFmt formatCode="General" sourceLinked="1"/>
        <c:majorTickMark val="out"/>
        <c:minorTickMark val="none"/>
        <c:tickLblPos val="nextTo"/>
        <c:crossAx val="1508129712"/>
        <c:crosses val="autoZero"/>
        <c:auto val="1"/>
        <c:lblAlgn val="ctr"/>
        <c:lblOffset val="100"/>
        <c:noMultiLvlLbl val="0"/>
      </c:catAx>
      <c:valAx>
        <c:axId val="1508129712"/>
        <c:scaling>
          <c:orientation val="minMax"/>
        </c:scaling>
        <c:delete val="0"/>
        <c:axPos val="l"/>
        <c:title>
          <c:tx>
            <c:rich>
              <a:bodyPr/>
              <a:lstStyle/>
              <a:p>
                <a:pPr>
                  <a:defRPr/>
                </a:pPr>
                <a:r>
                  <a:rPr lang="en-GB"/>
                  <a:t>Frequency</a:t>
                </a:r>
              </a:p>
            </c:rich>
          </c:tx>
          <c:overlay val="0"/>
        </c:title>
        <c:numFmt formatCode="General" sourceLinked="1"/>
        <c:majorTickMark val="out"/>
        <c:minorTickMark val="none"/>
        <c:tickLblPos val="nextTo"/>
        <c:crossAx val="1508142768"/>
        <c:crosses val="autoZero"/>
        <c:crossBetween val="between"/>
      </c:valAx>
    </c:plotArea>
    <c:plotVisOnly val="1"/>
    <c:dispBlanksAs val="gap"/>
    <c:showDLblsOverMax val="0"/>
  </c:chart>
  <c:txPr>
    <a:bodyPr/>
    <a:lstStyle/>
    <a:p>
      <a:pPr>
        <a:defRPr sz="900" b="0">
          <a:latin typeface="Tahoma" panose="020B0604030504040204" pitchFamily="34" charset="0"/>
          <a:ea typeface="Tahoma" panose="020B0604030504040204" pitchFamily="34" charset="0"/>
          <a:cs typeface="Tahoma" panose="020B0604030504040204" pitchFamily="34" charset="0"/>
        </a:defRPr>
      </a:pPr>
      <a:endParaRPr lang="zh-CN"/>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Correlations of infrastructure stocks (sector) with MSCI World TR </a:t>
            </a:r>
          </a:p>
          <a:p>
            <a:pPr>
              <a:defRPr/>
            </a:pPr>
            <a:r>
              <a:rPr lang="en-GB"/>
              <a:t>(01/07/1998 - 30/06/2018)</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autoTitleDeleted val="0"/>
    <c:plotArea>
      <c:layout/>
      <c:lineChart>
        <c:grouping val="standard"/>
        <c:varyColors val="0"/>
        <c:ser>
          <c:idx val="0"/>
          <c:order val="0"/>
          <c:tx>
            <c:strRef>
              <c:f>Sheet4!$J$2</c:f>
              <c:strCache>
                <c:ptCount val="1"/>
                <c:pt idx="0">
                  <c:v>Bas. Mat.</c:v>
                </c:pt>
              </c:strCache>
            </c:strRef>
          </c:tx>
          <c:spPr>
            <a:ln w="12700" cap="rnd">
              <a:solidFill>
                <a:srgbClr val="00FFFF"/>
              </a:solidFill>
              <a:round/>
            </a:ln>
            <a:effectLst/>
          </c:spPr>
          <c:marker>
            <c:symbol val="none"/>
          </c:marker>
          <c:cat>
            <c:strRef>
              <c:f>Sheet4!$I$3:$I$18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Sheet4!$J$3:$J$18</c:f>
              <c:numCache>
                <c:formatCode>0.00</c:formatCode>
                <c:ptCount val="16"/>
                <c:pt idx="0">
                  <c:v>0.26583055555555557</c:v>
                </c:pt>
                <c:pt idx="1">
                  <c:v>0.29696654545454548</c:v>
                </c:pt>
                <c:pt idx="2">
                  <c:v>0.25296302941176479</c:v>
                </c:pt>
                <c:pt idx="3">
                  <c:v>0.29124239473684199</c:v>
                </c:pt>
                <c:pt idx="4">
                  <c:v>0.30440012499999997</c:v>
                </c:pt>
                <c:pt idx="5">
                  <c:v>0.35497397560975613</c:v>
                </c:pt>
                <c:pt idx="6">
                  <c:v>0.48152811904761894</c:v>
                </c:pt>
                <c:pt idx="7">
                  <c:v>0.50942934090909087</c:v>
                </c:pt>
                <c:pt idx="8">
                  <c:v>0.50170953061224521</c:v>
                </c:pt>
                <c:pt idx="9">
                  <c:v>0.52781741509433944</c:v>
                </c:pt>
                <c:pt idx="10">
                  <c:v>0.53731796491228057</c:v>
                </c:pt>
                <c:pt idx="11">
                  <c:v>0.42595913559322035</c:v>
                </c:pt>
                <c:pt idx="12">
                  <c:v>0.35958169999999995</c:v>
                </c:pt>
                <c:pt idx="13">
                  <c:v>0.31589968253968265</c:v>
                </c:pt>
                <c:pt idx="14">
                  <c:v>0.22005699999999997</c:v>
                </c:pt>
                <c:pt idx="15">
                  <c:v>0.23275820895522384</c:v>
                </c:pt>
              </c:numCache>
            </c:numRef>
          </c:val>
          <c:smooth val="0"/>
        </c:ser>
        <c:ser>
          <c:idx val="1"/>
          <c:order val="1"/>
          <c:tx>
            <c:strRef>
              <c:f>Sheet4!$K$2</c:f>
              <c:strCache>
                <c:ptCount val="1"/>
                <c:pt idx="0">
                  <c:v>Com. Serv.</c:v>
                </c:pt>
              </c:strCache>
            </c:strRef>
          </c:tx>
          <c:spPr>
            <a:ln w="12700" cap="rnd">
              <a:solidFill>
                <a:schemeClr val="accent2"/>
              </a:solidFill>
              <a:round/>
            </a:ln>
            <a:effectLst/>
          </c:spPr>
          <c:marker>
            <c:symbol val="none"/>
          </c:marker>
          <c:cat>
            <c:strRef>
              <c:f>Sheet4!$I$3:$I$18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Sheet4!$K$3:$K$18</c:f>
              <c:numCache>
                <c:formatCode>0.00</c:formatCode>
                <c:ptCount val="16"/>
                <c:pt idx="0">
                  <c:v>0.44117000000000001</c:v>
                </c:pt>
                <c:pt idx="1">
                  <c:v>0.42218377777777782</c:v>
                </c:pt>
                <c:pt idx="2">
                  <c:v>0.44764323076923085</c:v>
                </c:pt>
                <c:pt idx="3">
                  <c:v>0.42036471428571431</c:v>
                </c:pt>
                <c:pt idx="4">
                  <c:v>0.39246542857142858</c:v>
                </c:pt>
                <c:pt idx="5">
                  <c:v>0.41155716129032249</c:v>
                </c:pt>
                <c:pt idx="6">
                  <c:v>0.40824496874999999</c:v>
                </c:pt>
                <c:pt idx="7">
                  <c:v>0.42256979411764711</c:v>
                </c:pt>
                <c:pt idx="8">
                  <c:v>0.43686977777777775</c:v>
                </c:pt>
                <c:pt idx="9">
                  <c:v>0.43054756756756746</c:v>
                </c:pt>
                <c:pt idx="10">
                  <c:v>0.38774648648648646</c:v>
                </c:pt>
                <c:pt idx="11">
                  <c:v>0.31945483783783779</c:v>
                </c:pt>
                <c:pt idx="12">
                  <c:v>0.2767781842105263</c:v>
                </c:pt>
                <c:pt idx="13">
                  <c:v>0.32898755263157892</c:v>
                </c:pt>
                <c:pt idx="14">
                  <c:v>0.3043685128205128</c:v>
                </c:pt>
                <c:pt idx="15">
                  <c:v>0.30450137499999996</c:v>
                </c:pt>
              </c:numCache>
            </c:numRef>
          </c:val>
          <c:smooth val="0"/>
        </c:ser>
        <c:ser>
          <c:idx val="2"/>
          <c:order val="2"/>
          <c:tx>
            <c:strRef>
              <c:f>Sheet4!$L$2</c:f>
              <c:strCache>
                <c:ptCount val="1"/>
                <c:pt idx="0">
                  <c:v>Cons. Cyc.</c:v>
                </c:pt>
              </c:strCache>
            </c:strRef>
          </c:tx>
          <c:spPr>
            <a:ln w="12700" cap="rnd">
              <a:solidFill>
                <a:schemeClr val="accent3"/>
              </a:solidFill>
              <a:round/>
            </a:ln>
            <a:effectLst/>
          </c:spPr>
          <c:marker>
            <c:symbol val="none"/>
          </c:marker>
          <c:cat>
            <c:strRef>
              <c:f>Sheet4!$I$3:$I$18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Sheet4!$L$3:$L$18</c:f>
              <c:numCache>
                <c:formatCode>0.00</c:formatCode>
                <c:ptCount val="16"/>
                <c:pt idx="0">
                  <c:v>0.42509366666666665</c:v>
                </c:pt>
                <c:pt idx="1">
                  <c:v>0.40472833333333336</c:v>
                </c:pt>
                <c:pt idx="2">
                  <c:v>0.38732559999999999</c:v>
                </c:pt>
                <c:pt idx="3">
                  <c:v>0.39796049999999994</c:v>
                </c:pt>
                <c:pt idx="4">
                  <c:v>0.3822605</c:v>
                </c:pt>
                <c:pt idx="5">
                  <c:v>0.3971070769230769</c:v>
                </c:pt>
                <c:pt idx="6">
                  <c:v>0.43822085714285713</c:v>
                </c:pt>
                <c:pt idx="7">
                  <c:v>0.44708828571428566</c:v>
                </c:pt>
                <c:pt idx="8">
                  <c:v>0.43436878571428578</c:v>
                </c:pt>
                <c:pt idx="9">
                  <c:v>0.46139742857142857</c:v>
                </c:pt>
                <c:pt idx="10">
                  <c:v>0.44035450000000004</c:v>
                </c:pt>
                <c:pt idx="11">
                  <c:v>0.38394292857142859</c:v>
                </c:pt>
                <c:pt idx="12">
                  <c:v>0.34720993749999995</c:v>
                </c:pt>
                <c:pt idx="13">
                  <c:v>0.37541881249999998</c:v>
                </c:pt>
                <c:pt idx="14">
                  <c:v>0.29942364705882352</c:v>
                </c:pt>
                <c:pt idx="15">
                  <c:v>0.30667194117647056</c:v>
                </c:pt>
              </c:numCache>
            </c:numRef>
          </c:val>
          <c:smooth val="0"/>
        </c:ser>
        <c:ser>
          <c:idx val="3"/>
          <c:order val="3"/>
          <c:tx>
            <c:strRef>
              <c:f>Sheet4!$M$2</c:f>
              <c:strCache>
                <c:ptCount val="1"/>
                <c:pt idx="0">
                  <c:v>En.</c:v>
                </c:pt>
              </c:strCache>
            </c:strRef>
          </c:tx>
          <c:spPr>
            <a:ln w="12700" cap="rnd">
              <a:solidFill>
                <a:schemeClr val="accent4"/>
              </a:solidFill>
              <a:round/>
            </a:ln>
            <a:effectLst/>
          </c:spPr>
          <c:marker>
            <c:symbol val="none"/>
          </c:marker>
          <c:cat>
            <c:strRef>
              <c:f>Sheet4!$I$3:$I$18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Sheet4!$M$3:$M$18</c:f>
              <c:numCache>
                <c:formatCode>0.00</c:formatCode>
                <c:ptCount val="16"/>
                <c:pt idx="0">
                  <c:v>9.0023899999999976E-2</c:v>
                </c:pt>
                <c:pt idx="1">
                  <c:v>2.9151692307692309E-2</c:v>
                </c:pt>
                <c:pt idx="2">
                  <c:v>0.208066</c:v>
                </c:pt>
                <c:pt idx="3">
                  <c:v>0.21472671999999995</c:v>
                </c:pt>
                <c:pt idx="4">
                  <c:v>0.2093165769230769</c:v>
                </c:pt>
                <c:pt idx="5">
                  <c:v>0.28625361290322576</c:v>
                </c:pt>
                <c:pt idx="6">
                  <c:v>0.39758709090909095</c:v>
                </c:pt>
                <c:pt idx="7">
                  <c:v>0.41281637142857142</c:v>
                </c:pt>
                <c:pt idx="8">
                  <c:v>0.42852661538461534</c:v>
                </c:pt>
                <c:pt idx="9">
                  <c:v>0.44908294999999993</c:v>
                </c:pt>
                <c:pt idx="10">
                  <c:v>0.43767536585365846</c:v>
                </c:pt>
                <c:pt idx="11">
                  <c:v>0.37245073170731707</c:v>
                </c:pt>
                <c:pt idx="12">
                  <c:v>0.3556514545454546</c:v>
                </c:pt>
                <c:pt idx="13">
                  <c:v>0.36956407999999996</c:v>
                </c:pt>
                <c:pt idx="14">
                  <c:v>0.32345874074074066</c:v>
                </c:pt>
                <c:pt idx="15">
                  <c:v>0.3370566140350878</c:v>
                </c:pt>
              </c:numCache>
            </c:numRef>
          </c:val>
          <c:smooth val="0"/>
        </c:ser>
        <c:ser>
          <c:idx val="4"/>
          <c:order val="4"/>
          <c:tx>
            <c:strRef>
              <c:f>Sheet4!$N$2</c:f>
              <c:strCache>
                <c:ptCount val="1"/>
                <c:pt idx="0">
                  <c:v>Fin Serv.</c:v>
                </c:pt>
              </c:strCache>
            </c:strRef>
          </c:tx>
          <c:spPr>
            <a:ln w="12700" cap="rnd">
              <a:solidFill>
                <a:schemeClr val="accent5"/>
              </a:solidFill>
              <a:round/>
            </a:ln>
            <a:effectLst/>
          </c:spPr>
          <c:marker>
            <c:symbol val="none"/>
          </c:marker>
          <c:cat>
            <c:strRef>
              <c:f>Sheet4!$I$3:$I$18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Sheet4!$N$3:$N$18</c:f>
              <c:numCache>
                <c:formatCode>General</c:formatCode>
                <c:ptCount val="16"/>
                <c:pt idx="2" formatCode="0.00">
                  <c:v>0.34171249999999997</c:v>
                </c:pt>
                <c:pt idx="3" formatCode="0.00">
                  <c:v>0.48693399999999998</c:v>
                </c:pt>
                <c:pt idx="4" formatCode="0.00">
                  <c:v>0.50396600000000003</c:v>
                </c:pt>
                <c:pt idx="5" formatCode="0.00">
                  <c:v>0.50711099999999998</c:v>
                </c:pt>
                <c:pt idx="6" formatCode="0.00">
                  <c:v>0.6698115</c:v>
                </c:pt>
                <c:pt idx="7" formatCode="0.00">
                  <c:v>0.67967449999999996</c:v>
                </c:pt>
                <c:pt idx="8" formatCode="0.00">
                  <c:v>0.65764500000000004</c:v>
                </c:pt>
                <c:pt idx="9" formatCode="0.00">
                  <c:v>0.68025550000000001</c:v>
                </c:pt>
                <c:pt idx="10" formatCode="0.00">
                  <c:v>0.4708</c:v>
                </c:pt>
                <c:pt idx="11" formatCode="0.00">
                  <c:v>0.51184775000000005</c:v>
                </c:pt>
                <c:pt idx="12" formatCode="0.00">
                  <c:v>0.38039200000000001</c:v>
                </c:pt>
                <c:pt idx="13" formatCode="0.00">
                  <c:v>0.47630439999999996</c:v>
                </c:pt>
                <c:pt idx="14" formatCode="0.00">
                  <c:v>0.37063639999999998</c:v>
                </c:pt>
                <c:pt idx="15" formatCode="0.00">
                  <c:v>0.3943448</c:v>
                </c:pt>
              </c:numCache>
            </c:numRef>
          </c:val>
          <c:smooth val="0"/>
        </c:ser>
        <c:ser>
          <c:idx val="5"/>
          <c:order val="5"/>
          <c:tx>
            <c:strRef>
              <c:f>Sheet4!$O$2</c:f>
              <c:strCache>
                <c:ptCount val="1"/>
                <c:pt idx="0">
                  <c:v>Health.</c:v>
                </c:pt>
              </c:strCache>
            </c:strRef>
          </c:tx>
          <c:spPr>
            <a:ln w="12700" cap="rnd">
              <a:solidFill>
                <a:srgbClr val="00B050"/>
              </a:solidFill>
              <a:round/>
            </a:ln>
            <a:effectLst/>
          </c:spPr>
          <c:marker>
            <c:symbol val="none"/>
          </c:marker>
          <c:cat>
            <c:strRef>
              <c:f>Sheet4!$I$3:$I$18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Sheet4!$O$3:$O$18</c:f>
              <c:numCache>
                <c:formatCode>0.00</c:formatCode>
                <c:ptCount val="16"/>
                <c:pt idx="0">
                  <c:v>7.0285E-2</c:v>
                </c:pt>
                <c:pt idx="1">
                  <c:v>7.1455999999999933E-3</c:v>
                </c:pt>
                <c:pt idx="2">
                  <c:v>-7.2215000000000014E-3</c:v>
                </c:pt>
                <c:pt idx="3">
                  <c:v>9.592666666666666E-2</c:v>
                </c:pt>
                <c:pt idx="4">
                  <c:v>0.14518466666666666</c:v>
                </c:pt>
                <c:pt idx="5">
                  <c:v>0.28220899999999999</c:v>
                </c:pt>
                <c:pt idx="6">
                  <c:v>0.46773399999999993</c:v>
                </c:pt>
                <c:pt idx="7">
                  <c:v>0.48727233333333331</c:v>
                </c:pt>
                <c:pt idx="8">
                  <c:v>0.536304</c:v>
                </c:pt>
                <c:pt idx="9">
                  <c:v>0.55503566666666659</c:v>
                </c:pt>
                <c:pt idx="10">
                  <c:v>0.55030933333333332</c:v>
                </c:pt>
                <c:pt idx="11">
                  <c:v>0.48705099999999996</c:v>
                </c:pt>
                <c:pt idx="12">
                  <c:v>0.38407628571428576</c:v>
                </c:pt>
                <c:pt idx="13">
                  <c:v>0.41355987500000002</c:v>
                </c:pt>
                <c:pt idx="14">
                  <c:v>0.31226511111111116</c:v>
                </c:pt>
                <c:pt idx="15">
                  <c:v>0.2312322</c:v>
                </c:pt>
              </c:numCache>
            </c:numRef>
          </c:val>
          <c:smooth val="0"/>
        </c:ser>
        <c:ser>
          <c:idx val="6"/>
          <c:order val="6"/>
          <c:tx>
            <c:strRef>
              <c:f>Sheet4!$P$2</c:f>
              <c:strCache>
                <c:ptCount val="1"/>
                <c:pt idx="0">
                  <c:v>Ind.</c:v>
                </c:pt>
              </c:strCache>
            </c:strRef>
          </c:tx>
          <c:spPr>
            <a:ln w="12700" cap="rnd">
              <a:solidFill>
                <a:srgbClr val="CC0099"/>
              </a:solidFill>
              <a:round/>
            </a:ln>
            <a:effectLst/>
          </c:spPr>
          <c:marker>
            <c:symbol val="none"/>
          </c:marker>
          <c:cat>
            <c:strRef>
              <c:f>Sheet4!$I$3:$I$18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Sheet4!$P$3:$P$18</c:f>
              <c:numCache>
                <c:formatCode>0.00</c:formatCode>
                <c:ptCount val="16"/>
                <c:pt idx="0">
                  <c:v>0.26001314285714289</c:v>
                </c:pt>
                <c:pt idx="1">
                  <c:v>0.25209765306122445</c:v>
                </c:pt>
                <c:pt idx="2">
                  <c:v>0.27984709375</c:v>
                </c:pt>
                <c:pt idx="3">
                  <c:v>0.34175063392857136</c:v>
                </c:pt>
                <c:pt idx="4">
                  <c:v>0.31387683333333333</c:v>
                </c:pt>
                <c:pt idx="5">
                  <c:v>0.36508515199999964</c:v>
                </c:pt>
                <c:pt idx="6">
                  <c:v>0.47926318181818217</c:v>
                </c:pt>
                <c:pt idx="7">
                  <c:v>0.49218943478260885</c:v>
                </c:pt>
                <c:pt idx="8">
                  <c:v>0.49237012903225774</c:v>
                </c:pt>
                <c:pt idx="9">
                  <c:v>0.50888194011976051</c:v>
                </c:pt>
                <c:pt idx="10">
                  <c:v>0.50047395505617964</c:v>
                </c:pt>
                <c:pt idx="11">
                  <c:v>0.4173511160220994</c:v>
                </c:pt>
                <c:pt idx="12">
                  <c:v>0.37720102105263148</c:v>
                </c:pt>
                <c:pt idx="13">
                  <c:v>0.4063403333333333</c:v>
                </c:pt>
                <c:pt idx="14">
                  <c:v>0.32284216336633687</c:v>
                </c:pt>
                <c:pt idx="15">
                  <c:v>0.32246471980676328</c:v>
                </c:pt>
              </c:numCache>
            </c:numRef>
          </c:val>
          <c:smooth val="0"/>
        </c:ser>
        <c:ser>
          <c:idx val="7"/>
          <c:order val="7"/>
          <c:tx>
            <c:strRef>
              <c:f>Sheet4!$Q$2</c:f>
              <c:strCache>
                <c:ptCount val="1"/>
                <c:pt idx="0">
                  <c:v>Re. Est.</c:v>
                </c:pt>
              </c:strCache>
            </c:strRef>
          </c:tx>
          <c:spPr>
            <a:ln w="12700" cap="rnd">
              <a:solidFill>
                <a:srgbClr val="FF0000"/>
              </a:solidFill>
              <a:round/>
            </a:ln>
            <a:effectLst/>
          </c:spPr>
          <c:marker>
            <c:symbol val="none"/>
          </c:marker>
          <c:cat>
            <c:strRef>
              <c:f>Sheet4!$I$3:$I$18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Sheet4!$Q$3:$Q$18</c:f>
              <c:numCache>
                <c:formatCode>0.00</c:formatCode>
                <c:ptCount val="16"/>
                <c:pt idx="0">
                  <c:v>0.42266966666666667</c:v>
                </c:pt>
                <c:pt idx="1">
                  <c:v>0.45375575000000001</c:v>
                </c:pt>
                <c:pt idx="2">
                  <c:v>0.39374000000000003</c:v>
                </c:pt>
                <c:pt idx="3">
                  <c:v>0.36543037500000003</c:v>
                </c:pt>
                <c:pt idx="4">
                  <c:v>0.372573875</c:v>
                </c:pt>
                <c:pt idx="5">
                  <c:v>0.337895</c:v>
                </c:pt>
                <c:pt idx="6">
                  <c:v>0.53732437500000008</c:v>
                </c:pt>
                <c:pt idx="7">
                  <c:v>0.56502470000000005</c:v>
                </c:pt>
                <c:pt idx="8">
                  <c:v>0.56972630000000002</c:v>
                </c:pt>
                <c:pt idx="9">
                  <c:v>0.56490066666666672</c:v>
                </c:pt>
                <c:pt idx="10">
                  <c:v>0.55810207142857138</c:v>
                </c:pt>
                <c:pt idx="11">
                  <c:v>0.41781042857142864</c:v>
                </c:pt>
                <c:pt idx="12">
                  <c:v>0.33878579999999997</c:v>
                </c:pt>
                <c:pt idx="13">
                  <c:v>0.38139133333333336</c:v>
                </c:pt>
                <c:pt idx="14">
                  <c:v>0.27378505000000003</c:v>
                </c:pt>
                <c:pt idx="15">
                  <c:v>0.16073043749999996</c:v>
                </c:pt>
              </c:numCache>
            </c:numRef>
          </c:val>
          <c:smooth val="0"/>
        </c:ser>
        <c:ser>
          <c:idx val="8"/>
          <c:order val="8"/>
          <c:tx>
            <c:strRef>
              <c:f>Sheet4!$R$2</c:f>
              <c:strCache>
                <c:ptCount val="1"/>
                <c:pt idx="0">
                  <c:v>Tech.</c:v>
                </c:pt>
              </c:strCache>
            </c:strRef>
          </c:tx>
          <c:spPr>
            <a:ln w="12700" cap="rnd">
              <a:solidFill>
                <a:schemeClr val="tx1"/>
              </a:solidFill>
              <a:round/>
            </a:ln>
            <a:effectLst/>
          </c:spPr>
          <c:marker>
            <c:symbol val="none"/>
          </c:marker>
          <c:cat>
            <c:strRef>
              <c:f>Sheet4!$I$3:$I$18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Sheet4!$R$3:$R$18</c:f>
              <c:numCache>
                <c:formatCode>0.00</c:formatCode>
                <c:ptCount val="16"/>
                <c:pt idx="0">
                  <c:v>0.4419884285714285</c:v>
                </c:pt>
                <c:pt idx="1">
                  <c:v>0.41763445454545456</c:v>
                </c:pt>
                <c:pt idx="2">
                  <c:v>0.43813517241379307</c:v>
                </c:pt>
                <c:pt idx="3">
                  <c:v>0.45196045161290321</c:v>
                </c:pt>
                <c:pt idx="4">
                  <c:v>0.42115478124999994</c:v>
                </c:pt>
                <c:pt idx="5">
                  <c:v>0.40179282857142856</c:v>
                </c:pt>
                <c:pt idx="6">
                  <c:v>0.49955630555555547</c:v>
                </c:pt>
                <c:pt idx="7">
                  <c:v>0.51152552631578951</c:v>
                </c:pt>
                <c:pt idx="8">
                  <c:v>0.52089689999999989</c:v>
                </c:pt>
                <c:pt idx="9">
                  <c:v>0.5516319999999999</c:v>
                </c:pt>
                <c:pt idx="10">
                  <c:v>0.54080099999999998</c:v>
                </c:pt>
                <c:pt idx="11">
                  <c:v>0.48318813636363633</c:v>
                </c:pt>
                <c:pt idx="12">
                  <c:v>0.44849461363636361</c:v>
                </c:pt>
                <c:pt idx="13">
                  <c:v>0.45900927659574475</c:v>
                </c:pt>
                <c:pt idx="14">
                  <c:v>0.34842189583333333</c:v>
                </c:pt>
                <c:pt idx="15">
                  <c:v>0.36062340816326527</c:v>
                </c:pt>
              </c:numCache>
            </c:numRef>
          </c:val>
          <c:smooth val="0"/>
        </c:ser>
        <c:ser>
          <c:idx val="9"/>
          <c:order val="9"/>
          <c:tx>
            <c:strRef>
              <c:f>Sheet4!$S$2</c:f>
              <c:strCache>
                <c:ptCount val="1"/>
                <c:pt idx="0">
                  <c:v>Util.</c:v>
                </c:pt>
              </c:strCache>
            </c:strRef>
          </c:tx>
          <c:spPr>
            <a:ln w="12700" cap="rnd">
              <a:solidFill>
                <a:srgbClr val="00FF00"/>
              </a:solidFill>
              <a:round/>
            </a:ln>
            <a:effectLst/>
          </c:spPr>
          <c:marker>
            <c:symbol val="none"/>
          </c:marker>
          <c:cat>
            <c:strRef>
              <c:f>Sheet4!$I$3:$I$18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Sheet4!$S$3:$S$18</c:f>
              <c:numCache>
                <c:formatCode>0.00</c:formatCode>
                <c:ptCount val="16"/>
                <c:pt idx="0">
                  <c:v>0.10642322388059698</c:v>
                </c:pt>
                <c:pt idx="1">
                  <c:v>0.14125525</c:v>
                </c:pt>
                <c:pt idx="2">
                  <c:v>0.21073357407407389</c:v>
                </c:pt>
                <c:pt idx="3">
                  <c:v>0.27577590551181114</c:v>
                </c:pt>
                <c:pt idx="4">
                  <c:v>0.26493851851851835</c:v>
                </c:pt>
                <c:pt idx="5">
                  <c:v>0.31552145985401459</c:v>
                </c:pt>
                <c:pt idx="6">
                  <c:v>0.36726507692307681</c:v>
                </c:pt>
                <c:pt idx="7">
                  <c:v>0.38693198666666656</c:v>
                </c:pt>
                <c:pt idx="8">
                  <c:v>0.38385066037735854</c:v>
                </c:pt>
                <c:pt idx="9">
                  <c:v>0.38542307453416158</c:v>
                </c:pt>
                <c:pt idx="10">
                  <c:v>0.3584658</c:v>
                </c:pt>
                <c:pt idx="11">
                  <c:v>0.31602071929824577</c:v>
                </c:pt>
                <c:pt idx="12">
                  <c:v>0.25090611299435006</c:v>
                </c:pt>
                <c:pt idx="13">
                  <c:v>0.26373316292134824</c:v>
                </c:pt>
                <c:pt idx="14">
                  <c:v>0.23555404494382029</c:v>
                </c:pt>
                <c:pt idx="15">
                  <c:v>0.21331598895027629</c:v>
                </c:pt>
              </c:numCache>
            </c:numRef>
          </c:val>
          <c:smooth val="0"/>
        </c:ser>
        <c:dLbls>
          <c:showLegendKey val="0"/>
          <c:showVal val="0"/>
          <c:showCatName val="0"/>
          <c:showSerName val="0"/>
          <c:showPercent val="0"/>
          <c:showBubbleSize val="0"/>
        </c:dLbls>
        <c:smooth val="0"/>
        <c:axId val="1512666528"/>
        <c:axId val="1512671968"/>
      </c:lineChart>
      <c:catAx>
        <c:axId val="15126665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Time</a:t>
                </a:r>
              </a:p>
            </c:rich>
          </c:tx>
          <c:layout>
            <c:manualLayout>
              <c:xMode val="edge"/>
              <c:yMode val="edge"/>
              <c:x val="0.51243598981769201"/>
              <c:y val="0.794779440020534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numFmt formatCode="General" sourceLinked="1"/>
        <c:majorTickMark val="in"/>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crossAx val="1512671968"/>
        <c:crosses val="autoZero"/>
        <c:auto val="1"/>
        <c:lblAlgn val="ctr"/>
        <c:lblOffset val="100"/>
        <c:tickLblSkip val="3"/>
        <c:noMultiLvlLbl val="0"/>
      </c:catAx>
      <c:valAx>
        <c:axId val="1512671968"/>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Correlation</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crossAx val="1512666528"/>
        <c:crosses val="autoZero"/>
        <c:crossBetween val="between"/>
        <c:majorUnit val="0.1"/>
      </c:valAx>
      <c:spPr>
        <a:noFill/>
        <a:ln>
          <a:noFill/>
        </a:ln>
        <a:effectLst/>
      </c:spPr>
    </c:plotArea>
    <c:legend>
      <c:legendPos val="b"/>
      <c:overlay val="0"/>
      <c:spPr>
        <a:noFill/>
        <a:ln w="12700">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zh-CN"/>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8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Active funds - Rolling correlations of with MSCI World TR </a:t>
            </a:r>
          </a:p>
          <a:p>
            <a:pPr algn="ctr" rtl="0">
              <a:defRPr/>
            </a:pPr>
            <a:r>
              <a:rPr lang="en-GB"/>
              <a:t>(01/07/2008 - 30/06/2018)</a:t>
            </a:r>
          </a:p>
        </c:rich>
      </c:tx>
      <c:overlay val="0"/>
      <c:spPr>
        <a:noFill/>
        <a:ln>
          <a:noFill/>
        </a:ln>
        <a:effectLst/>
      </c:spPr>
      <c:txPr>
        <a:bodyPr rot="0" spcFirstLastPara="1" vertOverflow="ellipsis" vert="horz" wrap="square" anchor="ctr" anchorCtr="1"/>
        <a:lstStyle/>
        <a:p>
          <a:pPr algn="ctr" rtl="0">
            <a:defRPr sz="108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autoTitleDeleted val="0"/>
    <c:plotArea>
      <c:layout/>
      <c:lineChart>
        <c:grouping val="standard"/>
        <c:varyColors val="0"/>
        <c:ser>
          <c:idx val="1"/>
          <c:order val="0"/>
          <c:tx>
            <c:v>Active Funds</c:v>
          </c:tx>
          <c:spPr>
            <a:ln w="12700" cap="rnd">
              <a:solidFill>
                <a:schemeClr val="accent5"/>
              </a:solidFill>
              <a:round/>
            </a:ln>
            <a:effectLst/>
          </c:spPr>
          <c:marker>
            <c:symbol val="none"/>
          </c:marker>
          <c:cat>
            <c:strRef>
              <c:f>Sheet2!$B$8:$Q$8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Sheet2!$B$9:$Q$9</c:f>
              <c:numCache>
                <c:formatCode>General</c:formatCode>
                <c:ptCount val="16"/>
                <c:pt idx="0" formatCode="#,##0.00">
                  <c:v>0</c:v>
                </c:pt>
                <c:pt idx="4" formatCode="#,##0.00">
                  <c:v>0.83442499999999997</c:v>
                </c:pt>
                <c:pt idx="5" formatCode="#,##0.00">
                  <c:v>0.835789</c:v>
                </c:pt>
                <c:pt idx="6" formatCode="#,##0.00">
                  <c:v>0.75408500000000001</c:v>
                </c:pt>
                <c:pt idx="7" formatCode="#,##0.00">
                  <c:v>0.76287400000000005</c:v>
                </c:pt>
                <c:pt idx="8" formatCode="#,##0.00">
                  <c:v>0.73058500000000004</c:v>
                </c:pt>
                <c:pt idx="9" formatCode="#,##0.00">
                  <c:v>0.74421300000000001</c:v>
                </c:pt>
                <c:pt idx="10" formatCode="#,##0.00">
                  <c:v>0.72035899999999997</c:v>
                </c:pt>
                <c:pt idx="11" formatCode="#,##0.00">
                  <c:v>0.61335700000000004</c:v>
                </c:pt>
                <c:pt idx="12" formatCode="#,##0.00">
                  <c:v>0.55105700000000002</c:v>
                </c:pt>
                <c:pt idx="13" formatCode="#,##0.00">
                  <c:v>0.60101400000000005</c:v>
                </c:pt>
                <c:pt idx="14" formatCode="#,##0.00">
                  <c:v>0.52580499999999997</c:v>
                </c:pt>
                <c:pt idx="15" formatCode="#,##0.00">
                  <c:v>0.52362500000000001</c:v>
                </c:pt>
              </c:numCache>
            </c:numRef>
          </c:val>
          <c:smooth val="0"/>
        </c:ser>
        <c:dLbls>
          <c:showLegendKey val="0"/>
          <c:showVal val="0"/>
          <c:showCatName val="0"/>
          <c:showSerName val="0"/>
          <c:showPercent val="0"/>
          <c:showBubbleSize val="0"/>
        </c:dLbls>
        <c:smooth val="0"/>
        <c:axId val="1512674144"/>
        <c:axId val="1512672512"/>
      </c:lineChart>
      <c:catAx>
        <c:axId val="151267414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Time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crossAx val="1512672512"/>
        <c:crosses val="autoZero"/>
        <c:auto val="1"/>
        <c:lblAlgn val="ctr"/>
        <c:lblOffset val="100"/>
        <c:tickLblSkip val="3"/>
        <c:noMultiLvlLbl val="0"/>
      </c:catAx>
      <c:valAx>
        <c:axId val="1512672512"/>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Correlation</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crossAx val="151267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zh-CN"/>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8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Indices (all)  - Rolling correlations with MSCI World TR</a:t>
            </a:r>
          </a:p>
          <a:p>
            <a:pPr algn="ctr" rtl="0">
              <a:defRPr/>
            </a:pPr>
            <a:r>
              <a:rPr lang="en-GB"/>
              <a:t>(01/07/2008 - 30/06/2018</a:t>
            </a:r>
          </a:p>
          <a:p>
            <a:pPr algn="ctr" rtl="0">
              <a:defRPr/>
            </a:pPr>
            <a:r>
              <a:rPr lang="en-GB"/>
              <a:t> </a:t>
            </a:r>
          </a:p>
        </c:rich>
      </c:tx>
      <c:overlay val="0"/>
      <c:spPr>
        <a:noFill/>
        <a:ln>
          <a:noFill/>
        </a:ln>
        <a:effectLst/>
      </c:spPr>
      <c:txPr>
        <a:bodyPr rot="0" spcFirstLastPara="1" vertOverflow="ellipsis" vert="horz" wrap="square" anchor="ctr" anchorCtr="1"/>
        <a:lstStyle/>
        <a:p>
          <a:pPr algn="ctr" rtl="0">
            <a:defRPr sz="108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autoTitleDeleted val="0"/>
    <c:plotArea>
      <c:layout>
        <c:manualLayout>
          <c:layoutTarget val="inner"/>
          <c:xMode val="edge"/>
          <c:yMode val="edge"/>
          <c:x val="8.55531496062992E-2"/>
          <c:y val="0.24976851851851853"/>
          <c:w val="0.8539536307961505"/>
          <c:h val="0.49468394575678043"/>
        </c:manualLayout>
      </c:layout>
      <c:lineChart>
        <c:grouping val="standard"/>
        <c:varyColors val="0"/>
        <c:ser>
          <c:idx val="0"/>
          <c:order val="0"/>
          <c:tx>
            <c:strRef>
              <c:f>Sheet2!$A$9</c:f>
              <c:strCache>
                <c:ptCount val="1"/>
                <c:pt idx="0">
                  <c:v>Indices</c:v>
                </c:pt>
              </c:strCache>
            </c:strRef>
          </c:tx>
          <c:spPr>
            <a:ln w="12700" cap="rnd">
              <a:solidFill>
                <a:schemeClr val="accent1"/>
              </a:solidFill>
              <a:round/>
            </a:ln>
            <a:effectLst/>
          </c:spPr>
          <c:marker>
            <c:symbol val="none"/>
          </c:marker>
          <c:cat>
            <c:strRef>
              <c:f>Sheet2!$B$8:$Q$8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Sheet2!$B$9:$Q$9</c:f>
              <c:numCache>
                <c:formatCode>#,##0.00</c:formatCode>
                <c:ptCount val="16"/>
                <c:pt idx="0">
                  <c:v>0.29167599999999999</c:v>
                </c:pt>
                <c:pt idx="1">
                  <c:v>0.53117400000000004</c:v>
                </c:pt>
                <c:pt idx="2">
                  <c:v>0.565863</c:v>
                </c:pt>
                <c:pt idx="3">
                  <c:v>0.60731100000000005</c:v>
                </c:pt>
                <c:pt idx="4">
                  <c:v>0.58907799999999999</c:v>
                </c:pt>
                <c:pt idx="5">
                  <c:v>0.58596300000000001</c:v>
                </c:pt>
                <c:pt idx="6">
                  <c:v>0.75412900000000005</c:v>
                </c:pt>
                <c:pt idx="7">
                  <c:v>0.77060899999999999</c:v>
                </c:pt>
                <c:pt idx="8">
                  <c:v>0.79217300000000002</c:v>
                </c:pt>
                <c:pt idx="9">
                  <c:v>0.80089999999999995</c:v>
                </c:pt>
                <c:pt idx="10">
                  <c:v>0.78443799999999997</c:v>
                </c:pt>
                <c:pt idx="11">
                  <c:v>0.71157099999999995</c:v>
                </c:pt>
                <c:pt idx="12">
                  <c:v>0.65989699999999996</c:v>
                </c:pt>
                <c:pt idx="13">
                  <c:v>0.64946899999999996</c:v>
                </c:pt>
                <c:pt idx="14">
                  <c:v>0.55452299999999999</c:v>
                </c:pt>
                <c:pt idx="15">
                  <c:v>0.52776299999999998</c:v>
                </c:pt>
              </c:numCache>
            </c:numRef>
          </c:val>
          <c:smooth val="0"/>
        </c:ser>
        <c:dLbls>
          <c:showLegendKey val="0"/>
          <c:showVal val="0"/>
          <c:showCatName val="0"/>
          <c:showSerName val="0"/>
          <c:showPercent val="0"/>
          <c:showBubbleSize val="0"/>
        </c:dLbls>
        <c:smooth val="0"/>
        <c:axId val="1512663808"/>
        <c:axId val="1512677408"/>
      </c:lineChart>
      <c:catAx>
        <c:axId val="151266380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Time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crossAx val="1512677408"/>
        <c:crosses val="autoZero"/>
        <c:auto val="1"/>
        <c:lblAlgn val="ctr"/>
        <c:lblOffset val="100"/>
        <c:tickLblSkip val="3"/>
        <c:noMultiLvlLbl val="0"/>
      </c:catAx>
      <c:valAx>
        <c:axId val="1512677408"/>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Correlation</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crossAx val="151266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zh-CN"/>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Indices (global) - Rolling correlations with MSCI World TR </a:t>
            </a:r>
          </a:p>
          <a:p>
            <a:pPr>
              <a:defRPr/>
            </a:pPr>
            <a:r>
              <a:rPr lang="en-GB"/>
              <a:t>(01/07/2008 - 30/06/2018</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autoTitleDeleted val="0"/>
    <c:plotArea>
      <c:layout>
        <c:manualLayout>
          <c:layoutTarget val="inner"/>
          <c:xMode val="edge"/>
          <c:yMode val="edge"/>
          <c:x val="8.5553149606299214E-2"/>
          <c:y val="0.29606481481481484"/>
          <c:w val="0.8539536307961505"/>
          <c:h val="0.46023937007874016"/>
        </c:manualLayout>
      </c:layout>
      <c:lineChart>
        <c:grouping val="standard"/>
        <c:varyColors val="0"/>
        <c:ser>
          <c:idx val="0"/>
          <c:order val="0"/>
          <c:tx>
            <c:strRef>
              <c:f>Sheet4!$A$9</c:f>
              <c:strCache>
                <c:ptCount val="1"/>
                <c:pt idx="0">
                  <c:v>Indices (global)</c:v>
                </c:pt>
              </c:strCache>
            </c:strRef>
          </c:tx>
          <c:spPr>
            <a:ln w="12700" cap="rnd">
              <a:solidFill>
                <a:schemeClr val="accent1"/>
              </a:solidFill>
              <a:round/>
            </a:ln>
            <a:effectLst/>
          </c:spPr>
          <c:marker>
            <c:symbol val="none"/>
          </c:marker>
          <c:cat>
            <c:strRef>
              <c:f>Sheet4!$B$8:$Q$8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Sheet4!$B$9:$Q$9</c:f>
              <c:numCache>
                <c:formatCode>#,##0.00</c:formatCode>
                <c:ptCount val="16"/>
                <c:pt idx="1">
                  <c:v>0.77521899999999999</c:v>
                </c:pt>
                <c:pt idx="2">
                  <c:v>0.76697199999999999</c:v>
                </c:pt>
                <c:pt idx="3">
                  <c:v>0.76719824999999997</c:v>
                </c:pt>
                <c:pt idx="4">
                  <c:v>0.72016516666666675</c:v>
                </c:pt>
                <c:pt idx="5">
                  <c:v>0.695577</c:v>
                </c:pt>
                <c:pt idx="6">
                  <c:v>0.86410354545454549</c:v>
                </c:pt>
                <c:pt idx="7">
                  <c:v>0.87835772727272743</c:v>
                </c:pt>
                <c:pt idx="8">
                  <c:v>0.89520415384615382</c:v>
                </c:pt>
                <c:pt idx="9">
                  <c:v>0.901358142857143</c:v>
                </c:pt>
                <c:pt idx="10">
                  <c:v>0.88297264285714283</c:v>
                </c:pt>
                <c:pt idx="11">
                  <c:v>0.82587399999999989</c:v>
                </c:pt>
                <c:pt idx="12">
                  <c:v>0.76920500000000003</c:v>
                </c:pt>
                <c:pt idx="13">
                  <c:v>0.74590899999999982</c:v>
                </c:pt>
                <c:pt idx="14">
                  <c:v>0.62477099999999997</c:v>
                </c:pt>
                <c:pt idx="15">
                  <c:v>0.62278968749999997</c:v>
                </c:pt>
              </c:numCache>
            </c:numRef>
          </c:val>
          <c:smooth val="0"/>
        </c:ser>
        <c:dLbls>
          <c:showLegendKey val="0"/>
          <c:showVal val="0"/>
          <c:showCatName val="0"/>
          <c:showSerName val="0"/>
          <c:showPercent val="0"/>
          <c:showBubbleSize val="0"/>
        </c:dLbls>
        <c:smooth val="0"/>
        <c:axId val="1512676320"/>
        <c:axId val="1512665440"/>
      </c:lineChart>
      <c:catAx>
        <c:axId val="15126763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Time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crossAx val="1512665440"/>
        <c:crosses val="autoZero"/>
        <c:auto val="1"/>
        <c:lblAlgn val="ctr"/>
        <c:lblOffset val="100"/>
        <c:tickLblSkip val="3"/>
        <c:noMultiLvlLbl val="0"/>
      </c:catAx>
      <c:valAx>
        <c:axId val="1512665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Correlation</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crossAx val="1512676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Correlations of infrastructure stocks with MSCI World TR </a:t>
            </a:r>
          </a:p>
          <a:p>
            <a:pPr>
              <a:defRPr/>
            </a:pPr>
            <a:r>
              <a:rPr lang="en-GB"/>
              <a:t>(01/07/2003 - 30/06/2018)</a:t>
            </a:r>
          </a:p>
        </c:rich>
      </c:tx>
      <c:overlay val="0"/>
    </c:title>
    <c:autoTitleDeleted val="0"/>
    <c:plotArea>
      <c:layout/>
      <c:barChart>
        <c:barDir val="col"/>
        <c:grouping val="clustered"/>
        <c:varyColors val="0"/>
        <c:ser>
          <c:idx val="0"/>
          <c:order val="0"/>
          <c:invertIfNegative val="0"/>
          <c:cat>
            <c:numRef>
              <c:f>Histograms!$N$13:$N$33</c:f>
              <c:numCache>
                <c:formatCode>General</c:formatCode>
                <c:ptCount val="21"/>
                <c:pt idx="0">
                  <c:v>-1</c:v>
                </c:pt>
                <c:pt idx="1">
                  <c:v>-0.9</c:v>
                </c:pt>
                <c:pt idx="2">
                  <c:v>-0.8</c:v>
                </c:pt>
                <c:pt idx="3">
                  <c:v>-0.7</c:v>
                </c:pt>
                <c:pt idx="4">
                  <c:v>-0.6</c:v>
                </c:pt>
                <c:pt idx="5">
                  <c:v>-0.5</c:v>
                </c:pt>
                <c:pt idx="6">
                  <c:v>-0.4</c:v>
                </c:pt>
                <c:pt idx="7">
                  <c:v>-0.3</c:v>
                </c:pt>
                <c:pt idx="8">
                  <c:v>-0.2</c:v>
                </c:pt>
                <c:pt idx="9">
                  <c:v>-0.1</c:v>
                </c:pt>
                <c:pt idx="10">
                  <c:v>0</c:v>
                </c:pt>
                <c:pt idx="11">
                  <c:v>0.1</c:v>
                </c:pt>
                <c:pt idx="12">
                  <c:v>0.2</c:v>
                </c:pt>
                <c:pt idx="13">
                  <c:v>0.3</c:v>
                </c:pt>
                <c:pt idx="14">
                  <c:v>0.4</c:v>
                </c:pt>
                <c:pt idx="15">
                  <c:v>0.5</c:v>
                </c:pt>
                <c:pt idx="16">
                  <c:v>0.6</c:v>
                </c:pt>
                <c:pt idx="17">
                  <c:v>0.7</c:v>
                </c:pt>
                <c:pt idx="18">
                  <c:v>0.8</c:v>
                </c:pt>
                <c:pt idx="19">
                  <c:v>0.9</c:v>
                </c:pt>
                <c:pt idx="20">
                  <c:v>1</c:v>
                </c:pt>
              </c:numCache>
            </c:numRef>
          </c:cat>
          <c:val>
            <c:numRef>
              <c:f>Histograms!$O$13:$O$33</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12</c:v>
                </c:pt>
                <c:pt idx="12">
                  <c:v>46</c:v>
                </c:pt>
                <c:pt idx="13">
                  <c:v>76</c:v>
                </c:pt>
                <c:pt idx="14">
                  <c:v>111</c:v>
                </c:pt>
                <c:pt idx="15">
                  <c:v>95</c:v>
                </c:pt>
                <c:pt idx="16">
                  <c:v>59</c:v>
                </c:pt>
                <c:pt idx="17">
                  <c:v>25</c:v>
                </c:pt>
                <c:pt idx="18">
                  <c:v>5</c:v>
                </c:pt>
                <c:pt idx="19">
                  <c:v>0</c:v>
                </c:pt>
                <c:pt idx="20">
                  <c:v>0</c:v>
                </c:pt>
              </c:numCache>
            </c:numRef>
          </c:val>
        </c:ser>
        <c:dLbls>
          <c:showLegendKey val="0"/>
          <c:showVal val="0"/>
          <c:showCatName val="0"/>
          <c:showSerName val="0"/>
          <c:showPercent val="0"/>
          <c:showBubbleSize val="0"/>
        </c:dLbls>
        <c:gapWidth val="150"/>
        <c:axId val="1508137872"/>
        <c:axId val="1508138960"/>
      </c:barChart>
      <c:catAx>
        <c:axId val="1508137872"/>
        <c:scaling>
          <c:orientation val="minMax"/>
        </c:scaling>
        <c:delete val="0"/>
        <c:axPos val="b"/>
        <c:title>
          <c:tx>
            <c:rich>
              <a:bodyPr/>
              <a:lstStyle/>
              <a:p>
                <a:pPr>
                  <a:defRPr/>
                </a:pPr>
                <a:r>
                  <a:rPr lang="en-GB"/>
                  <a:t>Correlation</a:t>
                </a:r>
              </a:p>
            </c:rich>
          </c:tx>
          <c:overlay val="0"/>
        </c:title>
        <c:numFmt formatCode="General" sourceLinked="1"/>
        <c:majorTickMark val="out"/>
        <c:minorTickMark val="none"/>
        <c:tickLblPos val="nextTo"/>
        <c:crossAx val="1508138960"/>
        <c:crosses val="autoZero"/>
        <c:auto val="1"/>
        <c:lblAlgn val="ctr"/>
        <c:lblOffset val="100"/>
        <c:noMultiLvlLbl val="0"/>
      </c:catAx>
      <c:valAx>
        <c:axId val="1508138960"/>
        <c:scaling>
          <c:orientation val="minMax"/>
        </c:scaling>
        <c:delete val="0"/>
        <c:axPos val="l"/>
        <c:title>
          <c:tx>
            <c:rich>
              <a:bodyPr/>
              <a:lstStyle/>
              <a:p>
                <a:pPr>
                  <a:defRPr/>
                </a:pPr>
                <a:r>
                  <a:rPr lang="en-GB"/>
                  <a:t>Frequency</a:t>
                </a:r>
              </a:p>
            </c:rich>
          </c:tx>
          <c:overlay val="0"/>
        </c:title>
        <c:numFmt formatCode="General" sourceLinked="1"/>
        <c:majorTickMark val="out"/>
        <c:minorTickMark val="none"/>
        <c:tickLblPos val="nextTo"/>
        <c:crossAx val="1508137872"/>
        <c:crosses val="autoZero"/>
        <c:crossBetween val="between"/>
      </c:valAx>
    </c:plotArea>
    <c:plotVisOnly val="1"/>
    <c:dispBlanksAs val="gap"/>
    <c:showDLblsOverMax val="0"/>
  </c:chart>
  <c:txPr>
    <a:bodyPr/>
    <a:lstStyle/>
    <a:p>
      <a:pPr>
        <a:defRPr sz="900" b="0">
          <a:latin typeface="Tahoma" panose="020B0604030504040204" pitchFamily="34" charset="0"/>
          <a:ea typeface="Tahoma" panose="020B0604030504040204" pitchFamily="34" charset="0"/>
          <a:cs typeface="Tahoma" panose="020B0604030504040204" pitchFamily="34" charset="0"/>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Correlations of infrastructure stocks with MSCI World TR </a:t>
            </a:r>
          </a:p>
          <a:p>
            <a:pPr>
              <a:defRPr/>
            </a:pPr>
            <a:r>
              <a:rPr lang="en-GB"/>
              <a:t>(01/07/2008 - 30/06/2018)</a:t>
            </a:r>
          </a:p>
        </c:rich>
      </c:tx>
      <c:overlay val="0"/>
    </c:title>
    <c:autoTitleDeleted val="0"/>
    <c:plotArea>
      <c:layout/>
      <c:barChart>
        <c:barDir val="col"/>
        <c:grouping val="clustered"/>
        <c:varyColors val="0"/>
        <c:ser>
          <c:idx val="0"/>
          <c:order val="0"/>
          <c:invertIfNegative val="0"/>
          <c:cat>
            <c:numRef>
              <c:f>Histograms!$K$13:$K$33</c:f>
              <c:numCache>
                <c:formatCode>General</c:formatCode>
                <c:ptCount val="21"/>
                <c:pt idx="0">
                  <c:v>-1</c:v>
                </c:pt>
                <c:pt idx="1">
                  <c:v>-0.9</c:v>
                </c:pt>
                <c:pt idx="2">
                  <c:v>-0.8</c:v>
                </c:pt>
                <c:pt idx="3">
                  <c:v>-0.7</c:v>
                </c:pt>
                <c:pt idx="4">
                  <c:v>-0.6</c:v>
                </c:pt>
                <c:pt idx="5">
                  <c:v>-0.5</c:v>
                </c:pt>
                <c:pt idx="6">
                  <c:v>-0.4</c:v>
                </c:pt>
                <c:pt idx="7">
                  <c:v>-0.3</c:v>
                </c:pt>
                <c:pt idx="8">
                  <c:v>-0.2</c:v>
                </c:pt>
                <c:pt idx="9">
                  <c:v>-0.1</c:v>
                </c:pt>
                <c:pt idx="10">
                  <c:v>0</c:v>
                </c:pt>
                <c:pt idx="11">
                  <c:v>0.1</c:v>
                </c:pt>
                <c:pt idx="12">
                  <c:v>0.2</c:v>
                </c:pt>
                <c:pt idx="13">
                  <c:v>0.3</c:v>
                </c:pt>
                <c:pt idx="14">
                  <c:v>0.4</c:v>
                </c:pt>
                <c:pt idx="15">
                  <c:v>0.5</c:v>
                </c:pt>
                <c:pt idx="16">
                  <c:v>0.6</c:v>
                </c:pt>
                <c:pt idx="17">
                  <c:v>0.7</c:v>
                </c:pt>
                <c:pt idx="18">
                  <c:v>0.8</c:v>
                </c:pt>
                <c:pt idx="19">
                  <c:v>0.9</c:v>
                </c:pt>
                <c:pt idx="20">
                  <c:v>1</c:v>
                </c:pt>
              </c:numCache>
            </c:numRef>
          </c:cat>
          <c:val>
            <c:numRef>
              <c:f>Histograms!$L$13:$L$33</c:f>
              <c:numCache>
                <c:formatCode>General</c:formatCode>
                <c:ptCount val="21"/>
                <c:pt idx="0">
                  <c:v>0</c:v>
                </c:pt>
                <c:pt idx="1">
                  <c:v>0</c:v>
                </c:pt>
                <c:pt idx="2">
                  <c:v>0</c:v>
                </c:pt>
                <c:pt idx="3">
                  <c:v>0</c:v>
                </c:pt>
                <c:pt idx="4">
                  <c:v>0</c:v>
                </c:pt>
                <c:pt idx="5">
                  <c:v>0</c:v>
                </c:pt>
                <c:pt idx="6">
                  <c:v>0</c:v>
                </c:pt>
                <c:pt idx="7">
                  <c:v>0</c:v>
                </c:pt>
                <c:pt idx="8">
                  <c:v>0</c:v>
                </c:pt>
                <c:pt idx="9">
                  <c:v>0</c:v>
                </c:pt>
                <c:pt idx="10">
                  <c:v>3</c:v>
                </c:pt>
                <c:pt idx="11">
                  <c:v>21</c:v>
                </c:pt>
                <c:pt idx="12">
                  <c:v>53</c:v>
                </c:pt>
                <c:pt idx="13">
                  <c:v>83</c:v>
                </c:pt>
                <c:pt idx="14">
                  <c:v>131</c:v>
                </c:pt>
                <c:pt idx="15">
                  <c:v>132</c:v>
                </c:pt>
                <c:pt idx="16">
                  <c:v>82</c:v>
                </c:pt>
                <c:pt idx="17">
                  <c:v>44</c:v>
                </c:pt>
                <c:pt idx="18">
                  <c:v>14</c:v>
                </c:pt>
                <c:pt idx="19">
                  <c:v>1</c:v>
                </c:pt>
                <c:pt idx="20">
                  <c:v>0</c:v>
                </c:pt>
              </c:numCache>
            </c:numRef>
          </c:val>
        </c:ser>
        <c:dLbls>
          <c:showLegendKey val="0"/>
          <c:showVal val="0"/>
          <c:showCatName val="0"/>
          <c:showSerName val="0"/>
          <c:showPercent val="0"/>
          <c:showBubbleSize val="0"/>
        </c:dLbls>
        <c:gapWidth val="150"/>
        <c:axId val="1508130256"/>
        <c:axId val="1508144400"/>
      </c:barChart>
      <c:catAx>
        <c:axId val="1508130256"/>
        <c:scaling>
          <c:orientation val="minMax"/>
        </c:scaling>
        <c:delete val="0"/>
        <c:axPos val="b"/>
        <c:title>
          <c:tx>
            <c:rich>
              <a:bodyPr/>
              <a:lstStyle/>
              <a:p>
                <a:pPr>
                  <a:defRPr/>
                </a:pPr>
                <a:r>
                  <a:rPr lang="en-GB"/>
                  <a:t>Correlation</a:t>
                </a:r>
              </a:p>
            </c:rich>
          </c:tx>
          <c:overlay val="0"/>
        </c:title>
        <c:numFmt formatCode="General" sourceLinked="1"/>
        <c:majorTickMark val="out"/>
        <c:minorTickMark val="none"/>
        <c:tickLblPos val="nextTo"/>
        <c:crossAx val="1508144400"/>
        <c:crosses val="autoZero"/>
        <c:auto val="1"/>
        <c:lblAlgn val="ctr"/>
        <c:lblOffset val="100"/>
        <c:noMultiLvlLbl val="0"/>
      </c:catAx>
      <c:valAx>
        <c:axId val="1508144400"/>
        <c:scaling>
          <c:orientation val="minMax"/>
        </c:scaling>
        <c:delete val="0"/>
        <c:axPos val="l"/>
        <c:title>
          <c:tx>
            <c:rich>
              <a:bodyPr/>
              <a:lstStyle/>
              <a:p>
                <a:pPr>
                  <a:defRPr/>
                </a:pPr>
                <a:r>
                  <a:rPr lang="en-GB"/>
                  <a:t>Frequency</a:t>
                </a:r>
              </a:p>
            </c:rich>
          </c:tx>
          <c:overlay val="0"/>
        </c:title>
        <c:numFmt formatCode="General" sourceLinked="1"/>
        <c:majorTickMark val="out"/>
        <c:minorTickMark val="none"/>
        <c:tickLblPos val="nextTo"/>
        <c:crossAx val="1508130256"/>
        <c:crosses val="autoZero"/>
        <c:crossBetween val="between"/>
      </c:valAx>
    </c:plotArea>
    <c:plotVisOnly val="1"/>
    <c:dispBlanksAs val="gap"/>
    <c:showDLblsOverMax val="0"/>
  </c:chart>
  <c:txPr>
    <a:bodyPr/>
    <a:lstStyle/>
    <a:p>
      <a:pPr>
        <a:defRPr sz="900" b="0">
          <a:latin typeface="Tahoma" panose="020B0604030504040204" pitchFamily="34" charset="0"/>
          <a:ea typeface="Tahoma" panose="020B0604030504040204" pitchFamily="34" charset="0"/>
          <a:cs typeface="Tahoma" panose="020B0604030504040204" pitchFamily="34" charset="0"/>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Correlations of indices (all) with MSCI World TR </a:t>
            </a:r>
          </a:p>
          <a:p>
            <a:pPr>
              <a:defRPr/>
            </a:pPr>
            <a:r>
              <a:rPr lang="en-GB"/>
              <a:t>(01/07/1998 - 30/06/2018)</a:t>
            </a:r>
          </a:p>
        </c:rich>
      </c:tx>
      <c:overlay val="0"/>
    </c:title>
    <c:autoTitleDeleted val="0"/>
    <c:plotArea>
      <c:layout/>
      <c:barChart>
        <c:barDir val="col"/>
        <c:grouping val="clustered"/>
        <c:varyColors val="0"/>
        <c:ser>
          <c:idx val="0"/>
          <c:order val="0"/>
          <c:invertIfNegative val="0"/>
          <c:cat>
            <c:numRef>
              <c:f>Histograms!$Q$13:$Q$33</c:f>
              <c:numCache>
                <c:formatCode>General</c:formatCode>
                <c:ptCount val="21"/>
                <c:pt idx="0">
                  <c:v>-1</c:v>
                </c:pt>
                <c:pt idx="1">
                  <c:v>-0.9</c:v>
                </c:pt>
                <c:pt idx="2">
                  <c:v>-0.8</c:v>
                </c:pt>
                <c:pt idx="3">
                  <c:v>-0.7</c:v>
                </c:pt>
                <c:pt idx="4">
                  <c:v>-0.6</c:v>
                </c:pt>
                <c:pt idx="5">
                  <c:v>-0.5</c:v>
                </c:pt>
                <c:pt idx="6">
                  <c:v>-0.4</c:v>
                </c:pt>
                <c:pt idx="7">
                  <c:v>-0.3</c:v>
                </c:pt>
                <c:pt idx="8">
                  <c:v>-0.2</c:v>
                </c:pt>
                <c:pt idx="9">
                  <c:v>-0.1</c:v>
                </c:pt>
                <c:pt idx="10">
                  <c:v>0</c:v>
                </c:pt>
                <c:pt idx="11">
                  <c:v>0.1</c:v>
                </c:pt>
                <c:pt idx="12">
                  <c:v>0.2</c:v>
                </c:pt>
                <c:pt idx="13">
                  <c:v>0.3</c:v>
                </c:pt>
                <c:pt idx="14">
                  <c:v>0.4</c:v>
                </c:pt>
                <c:pt idx="15">
                  <c:v>0.5</c:v>
                </c:pt>
                <c:pt idx="16">
                  <c:v>0.6</c:v>
                </c:pt>
                <c:pt idx="17">
                  <c:v>0.7</c:v>
                </c:pt>
                <c:pt idx="18">
                  <c:v>0.8</c:v>
                </c:pt>
                <c:pt idx="19">
                  <c:v>0.9</c:v>
                </c:pt>
                <c:pt idx="20">
                  <c:v>1</c:v>
                </c:pt>
              </c:numCache>
            </c:numRef>
          </c:cat>
          <c:val>
            <c:numRef>
              <c:f>Histograms!$R$13:$R$33</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3</c:v>
                </c:pt>
                <c:pt idx="16">
                  <c:v>1</c:v>
                </c:pt>
                <c:pt idx="17">
                  <c:v>0</c:v>
                </c:pt>
                <c:pt idx="18">
                  <c:v>0</c:v>
                </c:pt>
                <c:pt idx="19">
                  <c:v>0</c:v>
                </c:pt>
                <c:pt idx="20">
                  <c:v>0</c:v>
                </c:pt>
              </c:numCache>
            </c:numRef>
          </c:val>
        </c:ser>
        <c:dLbls>
          <c:showLegendKey val="0"/>
          <c:showVal val="0"/>
          <c:showCatName val="0"/>
          <c:showSerName val="0"/>
          <c:showPercent val="0"/>
          <c:showBubbleSize val="0"/>
        </c:dLbls>
        <c:gapWidth val="150"/>
        <c:axId val="1508133520"/>
        <c:axId val="1508141136"/>
      </c:barChart>
      <c:catAx>
        <c:axId val="1508133520"/>
        <c:scaling>
          <c:orientation val="minMax"/>
        </c:scaling>
        <c:delete val="0"/>
        <c:axPos val="b"/>
        <c:title>
          <c:tx>
            <c:rich>
              <a:bodyPr/>
              <a:lstStyle/>
              <a:p>
                <a:pPr>
                  <a:defRPr/>
                </a:pPr>
                <a:r>
                  <a:rPr lang="en-GB"/>
                  <a:t>Correlation</a:t>
                </a:r>
              </a:p>
            </c:rich>
          </c:tx>
          <c:overlay val="0"/>
        </c:title>
        <c:numFmt formatCode="General" sourceLinked="1"/>
        <c:majorTickMark val="out"/>
        <c:minorTickMark val="none"/>
        <c:tickLblPos val="nextTo"/>
        <c:crossAx val="1508141136"/>
        <c:crosses val="autoZero"/>
        <c:auto val="1"/>
        <c:lblAlgn val="ctr"/>
        <c:lblOffset val="100"/>
        <c:noMultiLvlLbl val="0"/>
      </c:catAx>
      <c:valAx>
        <c:axId val="1508141136"/>
        <c:scaling>
          <c:orientation val="minMax"/>
        </c:scaling>
        <c:delete val="0"/>
        <c:axPos val="l"/>
        <c:title>
          <c:tx>
            <c:rich>
              <a:bodyPr/>
              <a:lstStyle/>
              <a:p>
                <a:pPr>
                  <a:defRPr/>
                </a:pPr>
                <a:r>
                  <a:rPr lang="en-GB"/>
                  <a:t>Frequency</a:t>
                </a:r>
              </a:p>
            </c:rich>
          </c:tx>
          <c:overlay val="0"/>
        </c:title>
        <c:numFmt formatCode="General" sourceLinked="1"/>
        <c:majorTickMark val="out"/>
        <c:minorTickMark val="none"/>
        <c:tickLblPos val="nextTo"/>
        <c:crossAx val="1508133520"/>
        <c:crosses val="autoZero"/>
        <c:crossBetween val="between"/>
      </c:valAx>
    </c:plotArea>
    <c:plotVisOnly val="1"/>
    <c:dispBlanksAs val="gap"/>
    <c:showDLblsOverMax val="0"/>
  </c:chart>
  <c:txPr>
    <a:bodyPr/>
    <a:lstStyle/>
    <a:p>
      <a:pPr>
        <a:defRPr sz="900" b="0">
          <a:latin typeface="Tahoma" panose="020B0604030504040204" pitchFamily="34" charset="0"/>
          <a:ea typeface="Tahoma" panose="020B0604030504040204" pitchFamily="34" charset="0"/>
          <a:cs typeface="Tahoma" panose="020B0604030504040204" pitchFamily="34" charset="0"/>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Correlations of indices (all) with MSCI World TR </a:t>
            </a:r>
          </a:p>
          <a:p>
            <a:pPr>
              <a:defRPr/>
            </a:pPr>
            <a:r>
              <a:rPr lang="en-GB"/>
              <a:t>(01/07/2003 - 30/06/2018)</a:t>
            </a:r>
          </a:p>
        </c:rich>
      </c:tx>
      <c:overlay val="0"/>
    </c:title>
    <c:autoTitleDeleted val="0"/>
    <c:plotArea>
      <c:layout/>
      <c:barChart>
        <c:barDir val="col"/>
        <c:grouping val="clustered"/>
        <c:varyColors val="0"/>
        <c:ser>
          <c:idx val="0"/>
          <c:order val="0"/>
          <c:invertIfNegative val="0"/>
          <c:cat>
            <c:numRef>
              <c:f>Histograms!$N$13:$N$33</c:f>
              <c:numCache>
                <c:formatCode>General</c:formatCode>
                <c:ptCount val="21"/>
                <c:pt idx="0">
                  <c:v>-1</c:v>
                </c:pt>
                <c:pt idx="1">
                  <c:v>-0.9</c:v>
                </c:pt>
                <c:pt idx="2">
                  <c:v>-0.8</c:v>
                </c:pt>
                <c:pt idx="3">
                  <c:v>-0.7</c:v>
                </c:pt>
                <c:pt idx="4">
                  <c:v>-0.6</c:v>
                </c:pt>
                <c:pt idx="5">
                  <c:v>-0.5</c:v>
                </c:pt>
                <c:pt idx="6">
                  <c:v>-0.4</c:v>
                </c:pt>
                <c:pt idx="7">
                  <c:v>-0.3</c:v>
                </c:pt>
                <c:pt idx="8">
                  <c:v>-0.2</c:v>
                </c:pt>
                <c:pt idx="9">
                  <c:v>-0.1</c:v>
                </c:pt>
                <c:pt idx="10">
                  <c:v>0</c:v>
                </c:pt>
                <c:pt idx="11">
                  <c:v>0.1</c:v>
                </c:pt>
                <c:pt idx="12">
                  <c:v>0.2</c:v>
                </c:pt>
                <c:pt idx="13">
                  <c:v>0.3</c:v>
                </c:pt>
                <c:pt idx="14">
                  <c:v>0.4</c:v>
                </c:pt>
                <c:pt idx="15">
                  <c:v>0.5</c:v>
                </c:pt>
                <c:pt idx="16">
                  <c:v>0.6</c:v>
                </c:pt>
                <c:pt idx="17">
                  <c:v>0.7</c:v>
                </c:pt>
                <c:pt idx="18">
                  <c:v>0.8</c:v>
                </c:pt>
                <c:pt idx="19">
                  <c:v>0.9</c:v>
                </c:pt>
                <c:pt idx="20">
                  <c:v>1</c:v>
                </c:pt>
              </c:numCache>
            </c:numRef>
          </c:cat>
          <c:val>
            <c:numRef>
              <c:f>Histograms!$O$13:$O$33</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2</c:v>
                </c:pt>
                <c:pt idx="14">
                  <c:v>0</c:v>
                </c:pt>
                <c:pt idx="15">
                  <c:v>3</c:v>
                </c:pt>
                <c:pt idx="16">
                  <c:v>2</c:v>
                </c:pt>
                <c:pt idx="17">
                  <c:v>1</c:v>
                </c:pt>
                <c:pt idx="18">
                  <c:v>9</c:v>
                </c:pt>
                <c:pt idx="19">
                  <c:v>3</c:v>
                </c:pt>
                <c:pt idx="20">
                  <c:v>0</c:v>
                </c:pt>
              </c:numCache>
            </c:numRef>
          </c:val>
        </c:ser>
        <c:dLbls>
          <c:showLegendKey val="0"/>
          <c:showVal val="0"/>
          <c:showCatName val="0"/>
          <c:showSerName val="0"/>
          <c:showPercent val="0"/>
          <c:showBubbleSize val="0"/>
        </c:dLbls>
        <c:gapWidth val="150"/>
        <c:axId val="1508144944"/>
        <c:axId val="1508135696"/>
      </c:barChart>
      <c:catAx>
        <c:axId val="1508144944"/>
        <c:scaling>
          <c:orientation val="minMax"/>
        </c:scaling>
        <c:delete val="0"/>
        <c:axPos val="b"/>
        <c:title>
          <c:tx>
            <c:rich>
              <a:bodyPr/>
              <a:lstStyle/>
              <a:p>
                <a:pPr>
                  <a:defRPr/>
                </a:pPr>
                <a:r>
                  <a:rPr lang="en-GB"/>
                  <a:t>Correlation</a:t>
                </a:r>
              </a:p>
            </c:rich>
          </c:tx>
          <c:overlay val="0"/>
        </c:title>
        <c:numFmt formatCode="General" sourceLinked="1"/>
        <c:majorTickMark val="out"/>
        <c:minorTickMark val="none"/>
        <c:tickLblPos val="nextTo"/>
        <c:crossAx val="1508135696"/>
        <c:crosses val="autoZero"/>
        <c:auto val="1"/>
        <c:lblAlgn val="ctr"/>
        <c:lblOffset val="100"/>
        <c:noMultiLvlLbl val="0"/>
      </c:catAx>
      <c:valAx>
        <c:axId val="1508135696"/>
        <c:scaling>
          <c:orientation val="minMax"/>
        </c:scaling>
        <c:delete val="0"/>
        <c:axPos val="l"/>
        <c:title>
          <c:tx>
            <c:rich>
              <a:bodyPr/>
              <a:lstStyle/>
              <a:p>
                <a:pPr>
                  <a:defRPr/>
                </a:pPr>
                <a:r>
                  <a:rPr lang="en-GB"/>
                  <a:t>Frequency</a:t>
                </a:r>
              </a:p>
            </c:rich>
          </c:tx>
          <c:overlay val="0"/>
        </c:title>
        <c:numFmt formatCode="General" sourceLinked="1"/>
        <c:majorTickMark val="out"/>
        <c:minorTickMark val="none"/>
        <c:tickLblPos val="nextTo"/>
        <c:crossAx val="1508144944"/>
        <c:crosses val="autoZero"/>
        <c:crossBetween val="between"/>
      </c:valAx>
    </c:plotArea>
    <c:plotVisOnly val="1"/>
    <c:dispBlanksAs val="gap"/>
    <c:showDLblsOverMax val="0"/>
  </c:chart>
  <c:txPr>
    <a:bodyPr/>
    <a:lstStyle/>
    <a:p>
      <a:pPr>
        <a:defRPr sz="900" b="0">
          <a:latin typeface="Tahoma" panose="020B0604030504040204" pitchFamily="34" charset="0"/>
          <a:ea typeface="Tahoma" panose="020B0604030504040204" pitchFamily="34" charset="0"/>
          <a:cs typeface="Tahoma" panose="020B0604030504040204" pitchFamily="34" charset="0"/>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Correlations of indices (all) with MSCI World TR </a:t>
            </a:r>
          </a:p>
          <a:p>
            <a:pPr>
              <a:defRPr/>
            </a:pPr>
            <a:r>
              <a:rPr lang="en-GB"/>
              <a:t>(01/07/2008 - 30/06/2018)</a:t>
            </a:r>
          </a:p>
        </c:rich>
      </c:tx>
      <c:overlay val="0"/>
    </c:title>
    <c:autoTitleDeleted val="0"/>
    <c:plotArea>
      <c:layout/>
      <c:barChart>
        <c:barDir val="col"/>
        <c:grouping val="clustered"/>
        <c:varyColors val="0"/>
        <c:ser>
          <c:idx val="0"/>
          <c:order val="0"/>
          <c:invertIfNegative val="0"/>
          <c:cat>
            <c:numRef>
              <c:f>Histograms!$K$13:$K$33</c:f>
              <c:numCache>
                <c:formatCode>General</c:formatCode>
                <c:ptCount val="21"/>
                <c:pt idx="0">
                  <c:v>-1</c:v>
                </c:pt>
                <c:pt idx="1">
                  <c:v>-0.9</c:v>
                </c:pt>
                <c:pt idx="2">
                  <c:v>-0.8</c:v>
                </c:pt>
                <c:pt idx="3">
                  <c:v>-0.7</c:v>
                </c:pt>
                <c:pt idx="4">
                  <c:v>-0.6</c:v>
                </c:pt>
                <c:pt idx="5">
                  <c:v>-0.5</c:v>
                </c:pt>
                <c:pt idx="6">
                  <c:v>-0.4</c:v>
                </c:pt>
                <c:pt idx="7">
                  <c:v>-0.3</c:v>
                </c:pt>
                <c:pt idx="8">
                  <c:v>-0.2</c:v>
                </c:pt>
                <c:pt idx="9">
                  <c:v>-0.1</c:v>
                </c:pt>
                <c:pt idx="10">
                  <c:v>0</c:v>
                </c:pt>
                <c:pt idx="11">
                  <c:v>0.1</c:v>
                </c:pt>
                <c:pt idx="12">
                  <c:v>0.2</c:v>
                </c:pt>
                <c:pt idx="13">
                  <c:v>0.3</c:v>
                </c:pt>
                <c:pt idx="14">
                  <c:v>0.4</c:v>
                </c:pt>
                <c:pt idx="15">
                  <c:v>0.5</c:v>
                </c:pt>
                <c:pt idx="16">
                  <c:v>0.6</c:v>
                </c:pt>
                <c:pt idx="17">
                  <c:v>0.7</c:v>
                </c:pt>
                <c:pt idx="18">
                  <c:v>0.8</c:v>
                </c:pt>
                <c:pt idx="19">
                  <c:v>0.9</c:v>
                </c:pt>
                <c:pt idx="20">
                  <c:v>1</c:v>
                </c:pt>
              </c:numCache>
            </c:numRef>
          </c:cat>
          <c:val>
            <c:numRef>
              <c:f>Histograms!$L$13:$L$33</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2</c:v>
                </c:pt>
                <c:pt idx="14">
                  <c:v>0</c:v>
                </c:pt>
                <c:pt idx="15">
                  <c:v>1</c:v>
                </c:pt>
                <c:pt idx="16">
                  <c:v>4</c:v>
                </c:pt>
                <c:pt idx="17">
                  <c:v>1</c:v>
                </c:pt>
                <c:pt idx="18">
                  <c:v>10</c:v>
                </c:pt>
                <c:pt idx="19">
                  <c:v>10</c:v>
                </c:pt>
                <c:pt idx="20">
                  <c:v>0</c:v>
                </c:pt>
              </c:numCache>
            </c:numRef>
          </c:val>
        </c:ser>
        <c:dLbls>
          <c:showLegendKey val="0"/>
          <c:showVal val="0"/>
          <c:showCatName val="0"/>
          <c:showSerName val="0"/>
          <c:showPercent val="0"/>
          <c:showBubbleSize val="0"/>
        </c:dLbls>
        <c:gapWidth val="150"/>
        <c:axId val="1508134608"/>
        <c:axId val="1508143312"/>
      </c:barChart>
      <c:catAx>
        <c:axId val="1508134608"/>
        <c:scaling>
          <c:orientation val="minMax"/>
        </c:scaling>
        <c:delete val="0"/>
        <c:axPos val="b"/>
        <c:title>
          <c:tx>
            <c:rich>
              <a:bodyPr/>
              <a:lstStyle/>
              <a:p>
                <a:pPr>
                  <a:defRPr/>
                </a:pPr>
                <a:r>
                  <a:rPr lang="en-GB"/>
                  <a:t>Correlation</a:t>
                </a:r>
              </a:p>
            </c:rich>
          </c:tx>
          <c:overlay val="0"/>
        </c:title>
        <c:numFmt formatCode="General" sourceLinked="1"/>
        <c:majorTickMark val="out"/>
        <c:minorTickMark val="none"/>
        <c:tickLblPos val="nextTo"/>
        <c:crossAx val="1508143312"/>
        <c:crosses val="autoZero"/>
        <c:auto val="1"/>
        <c:lblAlgn val="ctr"/>
        <c:lblOffset val="100"/>
        <c:noMultiLvlLbl val="0"/>
      </c:catAx>
      <c:valAx>
        <c:axId val="1508143312"/>
        <c:scaling>
          <c:orientation val="minMax"/>
        </c:scaling>
        <c:delete val="0"/>
        <c:axPos val="l"/>
        <c:title>
          <c:tx>
            <c:rich>
              <a:bodyPr/>
              <a:lstStyle/>
              <a:p>
                <a:pPr>
                  <a:defRPr/>
                </a:pPr>
                <a:r>
                  <a:rPr lang="en-GB"/>
                  <a:t>Frequency</a:t>
                </a:r>
              </a:p>
            </c:rich>
          </c:tx>
          <c:overlay val="0"/>
        </c:title>
        <c:numFmt formatCode="General" sourceLinked="1"/>
        <c:majorTickMark val="out"/>
        <c:minorTickMark val="none"/>
        <c:tickLblPos val="nextTo"/>
        <c:crossAx val="1508134608"/>
        <c:crosses val="autoZero"/>
        <c:crossBetween val="between"/>
      </c:valAx>
    </c:plotArea>
    <c:plotVisOnly val="1"/>
    <c:dispBlanksAs val="gap"/>
    <c:showDLblsOverMax val="0"/>
  </c:chart>
  <c:txPr>
    <a:bodyPr/>
    <a:lstStyle/>
    <a:p>
      <a:pPr>
        <a:defRPr sz="900" b="0">
          <a:latin typeface="Tahoma" panose="020B0604030504040204" pitchFamily="34" charset="0"/>
          <a:ea typeface="Tahoma" panose="020B0604030504040204" pitchFamily="34" charset="0"/>
          <a:cs typeface="Tahoma" panose="020B0604030504040204" pitchFamily="34" charset="0"/>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Correlations of indices (global) with MSCI World TR </a:t>
            </a:r>
          </a:p>
          <a:p>
            <a:pPr>
              <a:defRPr/>
            </a:pPr>
            <a:r>
              <a:rPr lang="en-GB"/>
              <a:t>(01/07/2003- 30/06/2018)</a:t>
            </a:r>
          </a:p>
        </c:rich>
      </c:tx>
      <c:overlay val="0"/>
    </c:title>
    <c:autoTitleDeleted val="0"/>
    <c:plotArea>
      <c:layout/>
      <c:barChart>
        <c:barDir val="col"/>
        <c:grouping val="clustered"/>
        <c:varyColors val="0"/>
        <c:ser>
          <c:idx val="0"/>
          <c:order val="0"/>
          <c:invertIfNegative val="0"/>
          <c:cat>
            <c:numRef>
              <c:f>histograms!$N$13:$N$33</c:f>
              <c:numCache>
                <c:formatCode>General</c:formatCode>
                <c:ptCount val="21"/>
                <c:pt idx="0">
                  <c:v>-1</c:v>
                </c:pt>
                <c:pt idx="1">
                  <c:v>-0.9</c:v>
                </c:pt>
                <c:pt idx="2">
                  <c:v>-0.8</c:v>
                </c:pt>
                <c:pt idx="3">
                  <c:v>-0.7</c:v>
                </c:pt>
                <c:pt idx="4">
                  <c:v>-0.6</c:v>
                </c:pt>
                <c:pt idx="5">
                  <c:v>-0.5</c:v>
                </c:pt>
                <c:pt idx="6">
                  <c:v>-0.4</c:v>
                </c:pt>
                <c:pt idx="7">
                  <c:v>-0.3</c:v>
                </c:pt>
                <c:pt idx="8">
                  <c:v>-0.2</c:v>
                </c:pt>
                <c:pt idx="9">
                  <c:v>-0.1</c:v>
                </c:pt>
                <c:pt idx="10">
                  <c:v>0</c:v>
                </c:pt>
                <c:pt idx="11">
                  <c:v>0.1</c:v>
                </c:pt>
                <c:pt idx="12">
                  <c:v>0.2</c:v>
                </c:pt>
                <c:pt idx="13">
                  <c:v>0.3</c:v>
                </c:pt>
                <c:pt idx="14">
                  <c:v>0.4</c:v>
                </c:pt>
                <c:pt idx="15">
                  <c:v>0.5</c:v>
                </c:pt>
                <c:pt idx="16">
                  <c:v>0.6</c:v>
                </c:pt>
                <c:pt idx="17">
                  <c:v>0.7</c:v>
                </c:pt>
                <c:pt idx="18">
                  <c:v>0.8</c:v>
                </c:pt>
                <c:pt idx="19">
                  <c:v>0.9</c:v>
                </c:pt>
                <c:pt idx="20">
                  <c:v>1</c:v>
                </c:pt>
              </c:numCache>
            </c:numRef>
          </c:cat>
          <c:val>
            <c:numRef>
              <c:f>histograms!$O$13:$O$33</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5</c:v>
                </c:pt>
                <c:pt idx="19">
                  <c:v>1</c:v>
                </c:pt>
                <c:pt idx="20">
                  <c:v>0</c:v>
                </c:pt>
              </c:numCache>
            </c:numRef>
          </c:val>
        </c:ser>
        <c:dLbls>
          <c:showLegendKey val="0"/>
          <c:showVal val="0"/>
          <c:showCatName val="0"/>
          <c:showSerName val="0"/>
          <c:showPercent val="0"/>
          <c:showBubbleSize val="0"/>
        </c:dLbls>
        <c:gapWidth val="150"/>
        <c:axId val="1508139504"/>
        <c:axId val="1508143856"/>
      </c:barChart>
      <c:catAx>
        <c:axId val="1508139504"/>
        <c:scaling>
          <c:orientation val="minMax"/>
        </c:scaling>
        <c:delete val="0"/>
        <c:axPos val="b"/>
        <c:title>
          <c:tx>
            <c:rich>
              <a:bodyPr/>
              <a:lstStyle/>
              <a:p>
                <a:pPr>
                  <a:defRPr/>
                </a:pPr>
                <a:r>
                  <a:rPr lang="en-GB"/>
                  <a:t>Correlation</a:t>
                </a:r>
              </a:p>
            </c:rich>
          </c:tx>
          <c:overlay val="0"/>
        </c:title>
        <c:numFmt formatCode="General" sourceLinked="1"/>
        <c:majorTickMark val="out"/>
        <c:minorTickMark val="none"/>
        <c:tickLblPos val="nextTo"/>
        <c:crossAx val="1508143856"/>
        <c:crosses val="autoZero"/>
        <c:auto val="1"/>
        <c:lblAlgn val="ctr"/>
        <c:lblOffset val="100"/>
        <c:noMultiLvlLbl val="0"/>
      </c:catAx>
      <c:valAx>
        <c:axId val="1508143856"/>
        <c:scaling>
          <c:orientation val="minMax"/>
        </c:scaling>
        <c:delete val="0"/>
        <c:axPos val="l"/>
        <c:title>
          <c:tx>
            <c:rich>
              <a:bodyPr/>
              <a:lstStyle/>
              <a:p>
                <a:pPr>
                  <a:defRPr/>
                </a:pPr>
                <a:r>
                  <a:rPr lang="en-GB"/>
                  <a:t>Frequency</a:t>
                </a:r>
              </a:p>
            </c:rich>
          </c:tx>
          <c:overlay val="0"/>
        </c:title>
        <c:numFmt formatCode="General" sourceLinked="1"/>
        <c:majorTickMark val="out"/>
        <c:minorTickMark val="none"/>
        <c:tickLblPos val="nextTo"/>
        <c:crossAx val="1508139504"/>
        <c:crosses val="autoZero"/>
        <c:crossBetween val="between"/>
      </c:valAx>
    </c:plotArea>
    <c:plotVisOnly val="1"/>
    <c:dispBlanksAs val="gap"/>
    <c:showDLblsOverMax val="0"/>
  </c:chart>
  <c:txPr>
    <a:bodyPr/>
    <a:lstStyle/>
    <a:p>
      <a:pPr>
        <a:defRPr sz="900" b="0">
          <a:latin typeface="Tahoma" panose="020B0604030504040204" pitchFamily="34" charset="0"/>
          <a:ea typeface="Tahoma" panose="020B0604030504040204" pitchFamily="34" charset="0"/>
          <a:cs typeface="Tahoma" panose="020B0604030504040204" pitchFamily="34" charset="0"/>
        </a:defRPr>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Correlations of indices (global) with MSCI World TR </a:t>
            </a:r>
          </a:p>
          <a:p>
            <a:pPr>
              <a:defRPr/>
            </a:pPr>
            <a:r>
              <a:rPr lang="en-GB"/>
              <a:t>(01/07/2008 - 30/06/2018)</a:t>
            </a:r>
          </a:p>
        </c:rich>
      </c:tx>
      <c:overlay val="0"/>
    </c:title>
    <c:autoTitleDeleted val="0"/>
    <c:plotArea>
      <c:layout/>
      <c:barChart>
        <c:barDir val="col"/>
        <c:grouping val="clustered"/>
        <c:varyColors val="0"/>
        <c:ser>
          <c:idx val="0"/>
          <c:order val="0"/>
          <c:invertIfNegative val="0"/>
          <c:cat>
            <c:numRef>
              <c:f>histograms!$K$13:$K$33</c:f>
              <c:numCache>
                <c:formatCode>General</c:formatCode>
                <c:ptCount val="21"/>
                <c:pt idx="0">
                  <c:v>-1</c:v>
                </c:pt>
                <c:pt idx="1">
                  <c:v>-0.9</c:v>
                </c:pt>
                <c:pt idx="2">
                  <c:v>-0.8</c:v>
                </c:pt>
                <c:pt idx="3">
                  <c:v>-0.7</c:v>
                </c:pt>
                <c:pt idx="4">
                  <c:v>-0.6</c:v>
                </c:pt>
                <c:pt idx="5">
                  <c:v>-0.5</c:v>
                </c:pt>
                <c:pt idx="6">
                  <c:v>-0.4</c:v>
                </c:pt>
                <c:pt idx="7">
                  <c:v>-0.3</c:v>
                </c:pt>
                <c:pt idx="8">
                  <c:v>-0.2</c:v>
                </c:pt>
                <c:pt idx="9">
                  <c:v>-0.1</c:v>
                </c:pt>
                <c:pt idx="10">
                  <c:v>0</c:v>
                </c:pt>
                <c:pt idx="11">
                  <c:v>0.1</c:v>
                </c:pt>
                <c:pt idx="12">
                  <c:v>0.2</c:v>
                </c:pt>
                <c:pt idx="13">
                  <c:v>0.3</c:v>
                </c:pt>
                <c:pt idx="14">
                  <c:v>0.4</c:v>
                </c:pt>
                <c:pt idx="15">
                  <c:v>0.5</c:v>
                </c:pt>
                <c:pt idx="16">
                  <c:v>0.6</c:v>
                </c:pt>
                <c:pt idx="17">
                  <c:v>0.7</c:v>
                </c:pt>
                <c:pt idx="18">
                  <c:v>0.8</c:v>
                </c:pt>
                <c:pt idx="19">
                  <c:v>0.9</c:v>
                </c:pt>
                <c:pt idx="20">
                  <c:v>1</c:v>
                </c:pt>
              </c:numCache>
            </c:numRef>
          </c:cat>
          <c:val>
            <c:numRef>
              <c:f>histograms!$L$13:$L$33</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4</c:v>
                </c:pt>
                <c:pt idx="19">
                  <c:v>7</c:v>
                </c:pt>
                <c:pt idx="20">
                  <c:v>0</c:v>
                </c:pt>
              </c:numCache>
            </c:numRef>
          </c:val>
        </c:ser>
        <c:dLbls>
          <c:showLegendKey val="0"/>
          <c:showVal val="0"/>
          <c:showCatName val="0"/>
          <c:showSerName val="0"/>
          <c:showPercent val="0"/>
          <c:showBubbleSize val="0"/>
        </c:dLbls>
        <c:gapWidth val="150"/>
        <c:axId val="1512665984"/>
        <c:axId val="1512669248"/>
      </c:barChart>
      <c:catAx>
        <c:axId val="1512665984"/>
        <c:scaling>
          <c:orientation val="minMax"/>
        </c:scaling>
        <c:delete val="0"/>
        <c:axPos val="b"/>
        <c:title>
          <c:tx>
            <c:rich>
              <a:bodyPr/>
              <a:lstStyle/>
              <a:p>
                <a:pPr>
                  <a:defRPr/>
                </a:pPr>
                <a:r>
                  <a:rPr lang="en-GB"/>
                  <a:t>Correlation</a:t>
                </a:r>
              </a:p>
            </c:rich>
          </c:tx>
          <c:overlay val="0"/>
        </c:title>
        <c:numFmt formatCode="General" sourceLinked="1"/>
        <c:majorTickMark val="out"/>
        <c:minorTickMark val="none"/>
        <c:tickLblPos val="nextTo"/>
        <c:crossAx val="1512669248"/>
        <c:crosses val="autoZero"/>
        <c:auto val="1"/>
        <c:lblAlgn val="ctr"/>
        <c:lblOffset val="100"/>
        <c:noMultiLvlLbl val="0"/>
      </c:catAx>
      <c:valAx>
        <c:axId val="1512669248"/>
        <c:scaling>
          <c:orientation val="minMax"/>
        </c:scaling>
        <c:delete val="0"/>
        <c:axPos val="l"/>
        <c:title>
          <c:tx>
            <c:rich>
              <a:bodyPr/>
              <a:lstStyle/>
              <a:p>
                <a:pPr>
                  <a:defRPr/>
                </a:pPr>
                <a:r>
                  <a:rPr lang="en-GB"/>
                  <a:t>Frequency</a:t>
                </a:r>
              </a:p>
            </c:rich>
          </c:tx>
          <c:overlay val="0"/>
        </c:title>
        <c:numFmt formatCode="General" sourceLinked="1"/>
        <c:majorTickMark val="out"/>
        <c:minorTickMark val="none"/>
        <c:tickLblPos val="nextTo"/>
        <c:crossAx val="1512665984"/>
        <c:crosses val="autoZero"/>
        <c:crossBetween val="between"/>
      </c:valAx>
    </c:plotArea>
    <c:plotVisOnly val="1"/>
    <c:dispBlanksAs val="gap"/>
    <c:showDLblsOverMax val="0"/>
  </c:chart>
  <c:txPr>
    <a:bodyPr/>
    <a:lstStyle/>
    <a:p>
      <a:pPr>
        <a:defRPr sz="900" b="0">
          <a:latin typeface="Tahoma" panose="020B0604030504040204" pitchFamily="34" charset="0"/>
          <a:ea typeface="Tahoma" panose="020B0604030504040204" pitchFamily="34" charset="0"/>
          <a:cs typeface="Tahoma" panose="020B0604030504040204" pitchFamily="34" charset="0"/>
        </a:defRPr>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Correlations of infrastructure stocks with MSCI World TR </a:t>
            </a:r>
          </a:p>
          <a:p>
            <a:pPr>
              <a:defRPr/>
            </a:pPr>
            <a:r>
              <a:rPr lang="en-GB"/>
              <a:t>(01/07/1998 - 30/06/2018)</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autoTitleDeleted val="0"/>
    <c:plotArea>
      <c:layout/>
      <c:lineChart>
        <c:grouping val="standard"/>
        <c:varyColors val="0"/>
        <c:ser>
          <c:idx val="0"/>
          <c:order val="0"/>
          <c:tx>
            <c:strRef>
              <c:f>Sheet3!$C$9</c:f>
              <c:strCache>
                <c:ptCount val="1"/>
                <c:pt idx="0">
                  <c:v>Infrastructure Stocks</c:v>
                </c:pt>
              </c:strCache>
            </c:strRef>
          </c:tx>
          <c:spPr>
            <a:ln w="12700" cap="rnd">
              <a:solidFill>
                <a:schemeClr val="accent1"/>
              </a:solidFill>
              <a:round/>
            </a:ln>
            <a:effectLst/>
          </c:spPr>
          <c:marker>
            <c:symbol val="none"/>
          </c:marker>
          <c:cat>
            <c:strRef>
              <c:f>Sheet3!$D$8:$S$8</c:f>
              <c:strCache>
                <c:ptCount val="16"/>
                <c:pt idx="0">
                  <c:v>30/06/2003</c:v>
                </c:pt>
                <c:pt idx="1">
                  <c:v>30/06/2004</c:v>
                </c:pt>
                <c:pt idx="2">
                  <c:v>30/06/2005</c:v>
                </c:pt>
                <c:pt idx="3">
                  <c:v>30/06/2006</c:v>
                </c:pt>
                <c:pt idx="4">
                  <c:v>30/06/2007</c:v>
                </c:pt>
                <c:pt idx="5">
                  <c:v>30/06/2008</c:v>
                </c:pt>
                <c:pt idx="6">
                  <c:v>30/06/2009</c:v>
                </c:pt>
                <c:pt idx="7">
                  <c:v>30/06/2010</c:v>
                </c:pt>
                <c:pt idx="8">
                  <c:v>30/06/2011</c:v>
                </c:pt>
                <c:pt idx="9">
                  <c:v>30/06/2012</c:v>
                </c:pt>
                <c:pt idx="10">
                  <c:v>30/06/2013</c:v>
                </c:pt>
                <c:pt idx="11">
                  <c:v>30/06/2014</c:v>
                </c:pt>
                <c:pt idx="12">
                  <c:v>30/06/2015</c:v>
                </c:pt>
                <c:pt idx="13">
                  <c:v>30/06/2016</c:v>
                </c:pt>
                <c:pt idx="14">
                  <c:v>30/06/2017</c:v>
                </c:pt>
                <c:pt idx="15">
                  <c:v>30/06/2018</c:v>
                </c:pt>
              </c:strCache>
            </c:strRef>
          </c:cat>
          <c:val>
            <c:numRef>
              <c:f>Sheet3!$D$9:$S$9</c:f>
              <c:numCache>
                <c:formatCode>#,##0.00</c:formatCode>
                <c:ptCount val="16"/>
                <c:pt idx="0">
                  <c:v>0.23357423728813573</c:v>
                </c:pt>
                <c:pt idx="1">
                  <c:v>0.23811292346938773</c:v>
                </c:pt>
                <c:pt idx="2">
                  <c:v>0.27701017159763336</c:v>
                </c:pt>
                <c:pt idx="3">
                  <c:v>0.32033191731266136</c:v>
                </c:pt>
                <c:pt idx="4">
                  <c:v>0.3051557174447172</c:v>
                </c:pt>
                <c:pt idx="5">
                  <c:v>0.34891358508158515</c:v>
                </c:pt>
                <c:pt idx="6">
                  <c:v>0.43471826116071421</c:v>
                </c:pt>
                <c:pt idx="7">
                  <c:v>0.45185395541401202</c:v>
                </c:pt>
                <c:pt idx="8">
                  <c:v>0.4539620745098043</c:v>
                </c:pt>
                <c:pt idx="9">
                  <c:v>0.46832443551401914</c:v>
                </c:pt>
                <c:pt idx="10">
                  <c:v>0.45276573581560298</c:v>
                </c:pt>
                <c:pt idx="11">
                  <c:v>0.38398689141856396</c:v>
                </c:pt>
                <c:pt idx="12">
                  <c:v>0.33344659495798334</c:v>
                </c:pt>
                <c:pt idx="13">
                  <c:v>0.35171736231884038</c:v>
                </c:pt>
                <c:pt idx="14">
                  <c:v>0.28676702978056434</c:v>
                </c:pt>
                <c:pt idx="15">
                  <c:v>0.27493472834067528</c:v>
                </c:pt>
              </c:numCache>
            </c:numRef>
          </c:val>
          <c:smooth val="0"/>
        </c:ser>
        <c:dLbls>
          <c:showLegendKey val="0"/>
          <c:showVal val="0"/>
          <c:showCatName val="0"/>
          <c:showSerName val="0"/>
          <c:showPercent val="0"/>
          <c:showBubbleSize val="0"/>
        </c:dLbls>
        <c:smooth val="0"/>
        <c:axId val="1512667072"/>
        <c:axId val="1512673600"/>
      </c:lineChart>
      <c:catAx>
        <c:axId val="15126670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Time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crossAx val="1512673600"/>
        <c:crosses val="autoZero"/>
        <c:auto val="1"/>
        <c:lblAlgn val="ctr"/>
        <c:lblOffset val="100"/>
        <c:tickLblSkip val="3"/>
        <c:noMultiLvlLbl val="0"/>
      </c:catAx>
      <c:valAx>
        <c:axId val="151267360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GB"/>
                  <a:t>Correlation</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crossAx val="1512667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D147DBD953495C816EEF9910F00379"/>
        <w:category>
          <w:name w:val="General"/>
          <w:gallery w:val="placeholder"/>
        </w:category>
        <w:types>
          <w:type w:val="bbPlcHdr"/>
        </w:types>
        <w:behaviors>
          <w:behavior w:val="content"/>
        </w:behaviors>
        <w:guid w:val="{F2C505BC-E1CB-49C7-8150-DD5A3CFD4D03}"/>
      </w:docPartPr>
      <w:docPartBody>
        <w:p w:rsidR="00DD0728" w:rsidRDefault="00DD0728" w:rsidP="00DD0728">
          <w:pPr>
            <w:pStyle w:val="76D147DBD953495C816EEF9910F00379"/>
          </w:pPr>
          <w:r w:rsidRPr="008A246F">
            <w:rPr>
              <w:rStyle w:val="a3"/>
            </w:rPr>
            <w:t>Choose an item.</w:t>
          </w:r>
        </w:p>
      </w:docPartBody>
    </w:docPart>
    <w:docPart>
      <w:docPartPr>
        <w:name w:val="CE85CD6F8BEB424893CCC0C9A31E7DB6"/>
        <w:category>
          <w:name w:val="General"/>
          <w:gallery w:val="placeholder"/>
        </w:category>
        <w:types>
          <w:type w:val="bbPlcHdr"/>
        </w:types>
        <w:behaviors>
          <w:behavior w:val="content"/>
        </w:behaviors>
        <w:guid w:val="{11B7AE59-54DE-4AEB-AE17-5063583C0FD4}"/>
      </w:docPartPr>
      <w:docPartBody>
        <w:p w:rsidR="00DD0728" w:rsidRDefault="00DD0728" w:rsidP="00DD0728">
          <w:pPr>
            <w:pStyle w:val="CE85CD6F8BEB424893CCC0C9A31E7DB6"/>
          </w:pPr>
          <w:r w:rsidRPr="008A246F">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dvOT483a8203">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28"/>
    <w:rsid w:val="0047492E"/>
    <w:rsid w:val="00D14D4B"/>
    <w:rsid w:val="00DD0728"/>
    <w:rsid w:val="00E37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0728"/>
    <w:rPr>
      <w:color w:val="808080"/>
    </w:rPr>
  </w:style>
  <w:style w:type="paragraph" w:customStyle="1" w:styleId="76D147DBD953495C816EEF9910F00379">
    <w:name w:val="76D147DBD953495C816EEF9910F00379"/>
    <w:rsid w:val="00DD0728"/>
  </w:style>
  <w:style w:type="paragraph" w:customStyle="1" w:styleId="CE85CD6F8BEB424893CCC0C9A31E7DB6">
    <w:name w:val="CE85CD6F8BEB424893CCC0C9A31E7DB6"/>
    <w:rsid w:val="00DD0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B908F-AA37-496C-87B5-15056EC2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10612</Words>
  <Characters>60495</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AXA Wealth</Company>
  <LinksUpToDate>false</LinksUpToDate>
  <CharactersWithSpaces>70966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NEVINS Solomon (Architas)</dc:creator>
  <cp:keywords/>
  <dc:description/>
  <cp:lastModifiedBy>Zhifu Mi</cp:lastModifiedBy>
  <cp:revision>18</cp:revision>
  <cp:lastPrinted>2018-08-29T15:06:00Z</cp:lastPrinted>
  <dcterms:created xsi:type="dcterms:W3CDTF">2019-05-14T13:54:00Z</dcterms:created>
  <dcterms:modified xsi:type="dcterms:W3CDTF">2019-06-11T17:01:00Z</dcterms:modified>
</cp:coreProperties>
</file>